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lang w:val="en-US" w:eastAsia="zh-CN"/>
        </w:rPr>
        <w:t>库尔勒市城市供水二期扩建工程</w:t>
      </w:r>
      <w:r>
        <w:rPr>
          <w:rFonts w:hint="default" w:ascii="Times New Roman" w:hAnsi="Times New Roman" w:eastAsia="黑体" w:cs="Times New Roman"/>
          <w:b/>
          <w:sz w:val="36"/>
          <w:szCs w:val="36"/>
        </w:rPr>
        <w:t>竣工</w:t>
      </w:r>
    </w:p>
    <w:p>
      <w:pPr>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环境保护</w:t>
      </w:r>
      <w:r>
        <w:rPr>
          <w:rFonts w:hint="eastAsia" w:ascii="Times New Roman" w:hAnsi="Times New Roman" w:eastAsia="黑体" w:cs="Times New Roman"/>
          <w:b/>
          <w:sz w:val="36"/>
          <w:szCs w:val="36"/>
          <w:lang w:eastAsia="zh-CN"/>
        </w:rPr>
        <w:t>竣工</w:t>
      </w:r>
      <w:r>
        <w:rPr>
          <w:rFonts w:hint="default" w:ascii="Times New Roman" w:hAnsi="Times New Roman" w:eastAsia="黑体" w:cs="Times New Roman"/>
          <w:b/>
          <w:sz w:val="36"/>
          <w:szCs w:val="36"/>
        </w:rPr>
        <w:t>验收意见</w:t>
      </w:r>
    </w:p>
    <w:p>
      <w:pPr>
        <w:adjustRightInd w:val="0"/>
        <w:spacing w:line="52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lang w:val="en-US" w:eastAsia="zh-CN"/>
        </w:rPr>
        <w:t>日</w:t>
      </w:r>
      <w:r>
        <w:rPr>
          <w:rFonts w:hint="default" w:ascii="Times New Roman" w:hAnsi="Times New Roman" w:eastAsia="仿宋_GB2312" w:cs="Times New Roman"/>
          <w:sz w:val="28"/>
          <w:szCs w:val="28"/>
        </w:rPr>
        <w:t xml:space="preserve">，新疆昌源水务集团库尔勒银泉供水有限公司组织召开“库尔勒市城市供水二期扩建工程”竣工环境保护验收会，验收工作组由建设单位、验收报告编制单位和技术专家组成。验收工作组听取了建设单位关于该项目环境保护执行情况的汇报、验收监测单位关于该项目竣工环境保护验收监测情况的汇报，现场检查核实了环境保护设施建设情况，审阅并核查了有关资料，根据该项目竣工环境保护验收监测报告并对照《建设项目竣工环境保护验收暂行办法》，严格依照国家有关法律法规、建设项目竣工环境保护验收技术规范、环评及批复等要求对本项目进行竣工环境保护验收。经充分讨论评议后形成验收意见如下：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一、工程基本情况</w:t>
      </w:r>
    </w:p>
    <w:p>
      <w:pPr>
        <w:adjustRightInd w:val="0"/>
        <w:spacing w:line="520" w:lineRule="exact"/>
        <w:ind w:firstLine="560" w:firstLineChars="200"/>
        <w:jc w:val="left"/>
        <w:outlineLvl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（一）建设地点、规模、主要建设内容</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right="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新疆昌源水务集团库尔勒银泉供水有限公司投资建设库尔勒市城市供水二期扩建工程。本项目二期水源地具体位置在开都河北岸，解放一渠以西，21团场部以下，勘探区面积约100km²。西起农二师21团团部～水源地管理站～七个星镇一线，南以七个星镇至包尔海乡公路为界，东止包尔海乡～查汗其克乡～农二师23团团部一线，北到乌拉斯台农场至农二师23团团部。工程主要内容为：新建20×10</w:t>
      </w:r>
      <w:r>
        <w:rPr>
          <w:rFonts w:hint="eastAsia" w:ascii="Times New Roman" w:hAnsi="Times New Roman" w:eastAsia="仿宋_GB2312" w:cs="Times New Roman"/>
          <w:kern w:val="2"/>
          <w:sz w:val="28"/>
          <w:szCs w:val="28"/>
          <w:vertAlign w:val="superscript"/>
          <w:lang w:val="en-US" w:eastAsia="zh-CN" w:bidi="ar-SA"/>
        </w:rPr>
        <w:t>4</w:t>
      </w:r>
      <w:r>
        <w:rPr>
          <w:rFonts w:hint="eastAsia" w:ascii="Times New Roman" w:hAnsi="Times New Roman" w:eastAsia="仿宋_GB2312" w:cs="Times New Roman"/>
          <w:kern w:val="2"/>
          <w:sz w:val="28"/>
          <w:szCs w:val="28"/>
          <w:lang w:val="en-US" w:eastAsia="zh-CN" w:bidi="ar-SA"/>
        </w:rPr>
        <w:t>m³/d供水水源地一处，总面积约28km²，布设24组35眼探采结合井</w:t>
      </w:r>
      <w:r>
        <w:rPr>
          <w:rFonts w:hint="eastAsia" w:ascii="Times New Roman" w:hAnsi="Times New Roman" w:eastAsia="仿宋_GB2312" w:cs="Times New Roman"/>
          <w:kern w:val="2"/>
          <w:sz w:val="28"/>
          <w:szCs w:val="28"/>
          <w:lang w:val="en-US" w:eastAsia="zh-CN" w:bidi="ar-SA"/>
        </w:rPr>
        <w:t>（其中13组为单井11组为双井）</w:t>
      </w:r>
      <w:r>
        <w:rPr>
          <w:rFonts w:hint="eastAsia" w:ascii="Times New Roman" w:hAnsi="Times New Roman" w:eastAsia="仿宋_GB2312" w:cs="Times New Roman"/>
          <w:kern w:val="2"/>
          <w:sz w:val="28"/>
          <w:szCs w:val="28"/>
          <w:lang w:val="en-US" w:eastAsia="zh-CN" w:bidi="ar-SA"/>
        </w:rPr>
        <w:t>，2000m³沉砂池稳压池2座，36.13km输水管道，40000m³清水池一座，3.0km配水主干管及其他配套设施建设。</w:t>
      </w:r>
    </w:p>
    <w:p>
      <w:pPr>
        <w:adjustRightInd w:val="0"/>
        <w:spacing w:line="520" w:lineRule="exact"/>
        <w:ind w:firstLine="560" w:firstLineChars="200"/>
        <w:jc w:val="left"/>
        <w:outlineLvl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（二）建设过程及环保审批情况</w:t>
      </w:r>
    </w:p>
    <w:p>
      <w:pPr>
        <w:adjustRightInd w:val="0"/>
        <w:spacing w:line="520" w:lineRule="exact"/>
        <w:ind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2012年6月29日</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巴州生态环境局《</w:t>
      </w:r>
      <w:r>
        <w:rPr>
          <w:rFonts w:hint="eastAsia" w:ascii="Times New Roman" w:hAnsi="Times New Roman" w:eastAsia="仿宋_GB2312" w:cs="Times New Roman"/>
          <w:sz w:val="28"/>
          <w:szCs w:val="28"/>
          <w:lang w:eastAsia="zh-CN"/>
        </w:rPr>
        <w:t>关于对</w:t>
      </w:r>
      <w:r>
        <w:rPr>
          <w:rFonts w:hint="eastAsia" w:ascii="Times New Roman" w:hAnsi="Times New Roman" w:eastAsia="仿宋_GB2312" w:cs="Times New Roman"/>
          <w:sz w:val="28"/>
          <w:szCs w:val="28"/>
        </w:rPr>
        <w:t>库尔勒市城市供水二期扩建工程环境影响报告书的批复》（巴环</w:t>
      </w:r>
      <w:r>
        <w:rPr>
          <w:rFonts w:hint="eastAsia" w:ascii="Times New Roman" w:hAnsi="Times New Roman" w:eastAsia="仿宋_GB2312" w:cs="Times New Roman"/>
          <w:sz w:val="28"/>
          <w:szCs w:val="28"/>
          <w:lang w:eastAsia="zh-CN"/>
        </w:rPr>
        <w:t>控</w:t>
      </w:r>
      <w:r>
        <w:rPr>
          <w:rFonts w:hint="eastAsia" w:ascii="Times New Roman" w:hAnsi="Times New Roman" w:eastAsia="仿宋_GB2312" w:cs="Times New Roman"/>
          <w:sz w:val="28"/>
          <w:szCs w:val="28"/>
        </w:rPr>
        <w:t>函〔20</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444</w:t>
      </w:r>
      <w:r>
        <w:rPr>
          <w:rFonts w:hint="eastAsia" w:ascii="Times New Roman" w:hAnsi="Times New Roman" w:eastAsia="仿宋_GB2312" w:cs="Times New Roman"/>
          <w:sz w:val="28"/>
          <w:szCs w:val="28"/>
        </w:rPr>
        <w:t>号）</w:t>
      </w:r>
      <w:r>
        <w:rPr>
          <w:rFonts w:hint="eastAsia" w:ascii="Times New Roman" w:hAnsi="Times New Roman" w:eastAsia="仿宋_GB2312" w:cs="Times New Roman"/>
          <w:sz w:val="28"/>
          <w:szCs w:val="28"/>
          <w:lang w:eastAsia="zh-CN"/>
        </w:rPr>
        <w:t>。</w:t>
      </w:r>
    </w:p>
    <w:p>
      <w:pPr>
        <w:adjustRightInd w:val="0"/>
        <w:spacing w:line="520" w:lineRule="exact"/>
        <w:ind w:firstLine="560" w:firstLineChars="200"/>
        <w:jc w:val="left"/>
        <w:outlineLvl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（三）投资情况</w:t>
      </w:r>
    </w:p>
    <w:p>
      <w:pPr>
        <w:adjustRightInd w:val="0"/>
        <w:spacing w:line="520" w:lineRule="exact"/>
        <w:ind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本工程实际总投资</w:t>
      </w:r>
      <w:r>
        <w:rPr>
          <w:rFonts w:hint="eastAsia" w:ascii="Times New Roman" w:hAnsi="Times New Roman" w:eastAsia="仿宋_GB2312" w:cs="Times New Roman"/>
          <w:sz w:val="28"/>
          <w:szCs w:val="28"/>
          <w:lang w:val="en-US" w:eastAsia="zh-CN"/>
        </w:rPr>
        <w:t>5.8</w:t>
      </w:r>
      <w:r>
        <w:rPr>
          <w:rFonts w:hint="eastAsia" w:ascii="Times New Roman" w:hAnsi="Times New Roman" w:eastAsia="仿宋_GB2312" w:cs="Times New Roman"/>
          <w:sz w:val="28"/>
          <w:szCs w:val="28"/>
        </w:rPr>
        <w:t>亿元，其中环保投资</w:t>
      </w:r>
      <w:r>
        <w:rPr>
          <w:rFonts w:hint="eastAsia" w:ascii="Times New Roman" w:hAnsi="Times New Roman" w:eastAsia="仿宋_GB2312" w:cs="Times New Roman"/>
          <w:sz w:val="28"/>
          <w:szCs w:val="28"/>
          <w:lang w:val="en-US" w:eastAsia="zh-CN"/>
        </w:rPr>
        <w:t>209.9</w:t>
      </w:r>
      <w:r>
        <w:rPr>
          <w:rFonts w:hint="eastAsia" w:ascii="Times New Roman" w:hAnsi="Times New Roman" w:eastAsia="仿宋_GB2312" w:cs="Times New Roman"/>
          <w:sz w:val="28"/>
          <w:szCs w:val="28"/>
        </w:rPr>
        <w:t>万元，环保投资比例</w:t>
      </w:r>
      <w:r>
        <w:rPr>
          <w:rFonts w:hint="eastAsia" w:ascii="Times New Roman" w:hAnsi="Times New Roman" w:eastAsia="仿宋_GB2312" w:cs="Times New Roman"/>
          <w:sz w:val="28"/>
          <w:szCs w:val="28"/>
          <w:lang w:val="en-US" w:eastAsia="zh-CN"/>
        </w:rPr>
        <w:t>0.36</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p>
    <w:p>
      <w:pPr>
        <w:adjustRightInd w:val="0"/>
        <w:spacing w:line="520" w:lineRule="exact"/>
        <w:ind w:firstLine="560" w:firstLineChars="200"/>
        <w:jc w:val="left"/>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（四）验收范围</w:t>
      </w:r>
    </w:p>
    <w:p>
      <w:pPr>
        <w:adjustRightInd w:val="0"/>
        <w:spacing w:line="520" w:lineRule="exact"/>
        <w:ind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本次竣工环境保护验收内容包括库尔勒市城市供水二期扩建工程。</w:t>
      </w:r>
    </w:p>
    <w:p>
      <w:pPr>
        <w:adjustRightInd w:val="0"/>
        <w:spacing w:line="520" w:lineRule="exact"/>
        <w:ind w:firstLine="562" w:firstLineChars="200"/>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二、工程变动情况</w:t>
      </w:r>
    </w:p>
    <w:p>
      <w:pPr>
        <w:pStyle w:val="3"/>
        <w:kinsoku w:val="0"/>
        <w:overflowPunct w:val="0"/>
        <w:spacing w:before="185" w:beforeLines="0" w:afterLines="0" w:line="362" w:lineRule="auto"/>
        <w:ind w:left="280" w:right="496" w:firstLine="48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根据建设单位提供的相关资料数据，结合现场调查，项目变动情况如表1：</w:t>
      </w:r>
    </w:p>
    <w:p>
      <w:pPr>
        <w:pStyle w:val="3"/>
        <w:kinsoku w:val="0"/>
        <w:overflowPunct w:val="0"/>
        <w:spacing w:before="185" w:beforeLines="0" w:afterLines="0" w:line="362" w:lineRule="auto"/>
        <w:ind w:right="496"/>
        <w:jc w:val="center"/>
        <w:rPr>
          <w:rFonts w:hint="eastAsia" w:ascii="Times New Roman" w:hAnsi="Times New Roman" w:cs="Times New Roman"/>
          <w:spacing w:val="-5"/>
          <w:sz w:val="24"/>
          <w:szCs w:val="24"/>
          <w:highlight w:val="none"/>
          <w:lang w:val="en-US" w:eastAsia="zh-CN"/>
        </w:rPr>
      </w:pPr>
      <w:r>
        <w:rPr>
          <w:rFonts w:hint="eastAsia" w:ascii="Times New Roman" w:hAnsi="Times New Roman" w:cs="Times New Roman"/>
          <w:spacing w:val="-5"/>
          <w:sz w:val="24"/>
          <w:szCs w:val="24"/>
          <w:highlight w:val="none"/>
          <w:lang w:eastAsia="zh-CN"/>
        </w:rPr>
        <w:t>表</w:t>
      </w:r>
      <w:r>
        <w:rPr>
          <w:rFonts w:hint="eastAsia" w:ascii="Times New Roman" w:hAnsi="Times New Roman" w:cs="Times New Roman"/>
          <w:spacing w:val="-5"/>
          <w:sz w:val="24"/>
          <w:szCs w:val="24"/>
          <w:highlight w:val="none"/>
          <w:lang w:val="en-US" w:eastAsia="zh-CN"/>
        </w:rPr>
        <w:t>1  项目变动情况一栏表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989"/>
        <w:gridCol w:w="2304"/>
        <w:gridCol w:w="284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both"/>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color w:val="auto"/>
                <w:kern w:val="2"/>
                <w:sz w:val="20"/>
                <w:szCs w:val="20"/>
                <w:highlight w:val="none"/>
                <w:lang w:val="en-US" w:eastAsia="zh-CN" w:bidi="ar-SA"/>
              </w:rPr>
              <w:t>类别</w:t>
            </w:r>
          </w:p>
        </w:tc>
        <w:tc>
          <w:tcPr>
            <w:tcW w:w="1989" w:type="dxa"/>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eastAsiaTheme="minorEastAsia"/>
                <w:color w:val="auto"/>
                <w:kern w:val="2"/>
                <w:sz w:val="20"/>
                <w:szCs w:val="20"/>
                <w:highlight w:val="none"/>
                <w:lang w:val="en-US" w:eastAsia="zh-CN" w:bidi="ar-SA"/>
              </w:rPr>
              <w:t>重大变动清单</w:t>
            </w:r>
            <w:r>
              <w:rPr>
                <w:rFonts w:hint="eastAsia" w:ascii="Times New Roman" w:hAnsi="Times New Roman" w:cs="Times New Roman"/>
                <w:color w:val="auto"/>
                <w:kern w:val="2"/>
                <w:sz w:val="20"/>
                <w:szCs w:val="20"/>
                <w:highlight w:val="none"/>
                <w:lang w:val="en-US" w:eastAsia="zh-CN" w:bidi="ar-SA"/>
              </w:rPr>
              <w:t>内容</w:t>
            </w:r>
          </w:p>
        </w:tc>
        <w:tc>
          <w:tcPr>
            <w:tcW w:w="2304"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eastAsiaTheme="minorEastAsia"/>
                <w:color w:val="auto"/>
                <w:kern w:val="2"/>
                <w:sz w:val="20"/>
                <w:szCs w:val="20"/>
                <w:highlight w:val="none"/>
                <w:lang w:val="en-US" w:eastAsia="zh-CN" w:bidi="ar-SA"/>
              </w:rPr>
              <w:t>环评及批复建设内容</w:t>
            </w:r>
          </w:p>
        </w:tc>
        <w:tc>
          <w:tcPr>
            <w:tcW w:w="2844"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eastAsiaTheme="minorEastAsia"/>
                <w:color w:val="auto"/>
                <w:kern w:val="2"/>
                <w:sz w:val="20"/>
                <w:szCs w:val="20"/>
                <w:highlight w:val="none"/>
                <w:lang w:val="en-US" w:eastAsia="zh-CN" w:bidi="ar-SA"/>
              </w:rPr>
              <w:t>实际建设内容</w:t>
            </w:r>
          </w:p>
        </w:tc>
        <w:tc>
          <w:tcPr>
            <w:tcW w:w="847"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color w:val="auto"/>
                <w:kern w:val="2"/>
                <w:sz w:val="20"/>
                <w:szCs w:val="20"/>
                <w:highlight w:val="none"/>
                <w:lang w:val="en-US" w:eastAsia="zh-CN" w:bidi="ar-SA"/>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538"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both"/>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color w:val="auto"/>
                <w:kern w:val="2"/>
                <w:sz w:val="20"/>
                <w:szCs w:val="20"/>
                <w:highlight w:val="none"/>
                <w:lang w:val="en-US" w:eastAsia="zh-CN" w:bidi="ar-SA"/>
              </w:rPr>
              <w:t>规模</w:t>
            </w:r>
          </w:p>
        </w:tc>
        <w:tc>
          <w:tcPr>
            <w:tcW w:w="1989"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color w:val="auto"/>
                <w:kern w:val="2"/>
                <w:sz w:val="20"/>
                <w:szCs w:val="20"/>
                <w:highlight w:val="none"/>
                <w:lang w:val="en-US" w:eastAsia="zh-CN" w:bidi="ar-SA"/>
              </w:rPr>
              <w:t>1、</w:t>
            </w:r>
            <w:r>
              <w:rPr>
                <w:rFonts w:hint="eastAsia" w:ascii="Times New Roman" w:hAnsi="Times New Roman" w:cs="Times New Roman" w:eastAsiaTheme="minorEastAsia"/>
                <w:color w:val="auto"/>
                <w:kern w:val="2"/>
                <w:sz w:val="20"/>
                <w:szCs w:val="20"/>
                <w:highlight w:val="none"/>
                <w:lang w:val="en-US" w:eastAsia="zh-CN" w:bidi="ar-SA"/>
              </w:rPr>
              <w:t>供水量、引调水量增加20%及以上。</w:t>
            </w:r>
            <w:r>
              <w:rPr>
                <w:rFonts w:hint="eastAsia" w:ascii="Times New Roman" w:hAnsi="Times New Roman" w:cs="Times New Roman"/>
                <w:color w:val="auto"/>
                <w:kern w:val="2"/>
                <w:sz w:val="20"/>
                <w:szCs w:val="20"/>
                <w:highlight w:val="none"/>
                <w:lang w:val="en-US" w:eastAsia="zh-CN" w:bidi="ar-SA"/>
              </w:rPr>
              <w:t>2、</w:t>
            </w:r>
            <w:r>
              <w:rPr>
                <w:rFonts w:hint="eastAsia" w:ascii="Times New Roman" w:hAnsi="Times New Roman" w:cs="Times New Roman" w:eastAsiaTheme="minorEastAsia"/>
                <w:color w:val="auto"/>
                <w:kern w:val="2"/>
                <w:sz w:val="20"/>
                <w:szCs w:val="20"/>
                <w:highlight w:val="none"/>
                <w:lang w:val="en-US" w:eastAsia="zh-CN" w:bidi="ar-SA"/>
              </w:rPr>
              <w:t>引调水线路长度增加30%及以上。</w:t>
            </w:r>
          </w:p>
        </w:tc>
        <w:tc>
          <w:tcPr>
            <w:tcW w:w="2304"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cs="Times New Roman" w:eastAsiaTheme="minorEastAsia"/>
                <w:color w:val="auto"/>
                <w:kern w:val="2"/>
                <w:sz w:val="20"/>
                <w:szCs w:val="20"/>
                <w:highlight w:val="none"/>
                <w:lang w:val="en-US" w:eastAsia="zh-CN" w:bidi="ar-SA"/>
              </w:rPr>
              <w:t>新建20×10</w:t>
            </w:r>
            <w:r>
              <w:rPr>
                <w:rFonts w:hint="eastAsia" w:ascii="Times New Roman" w:hAnsi="Times New Roman" w:eastAsia="宋体" w:cs="Times New Roman"/>
                <w:b w:val="0"/>
                <w:bCs w:val="0"/>
                <w:color w:val="auto"/>
                <w:kern w:val="2"/>
                <w:sz w:val="21"/>
                <w:szCs w:val="21"/>
                <w:highlight w:val="none"/>
                <w:u w:val="none"/>
                <w:shd w:val="clear" w:color="auto" w:fill="auto"/>
                <w:vertAlign w:val="superscript"/>
                <w:lang w:val="en-US" w:eastAsia="zh-CN" w:bidi="ar-SA"/>
              </w:rPr>
              <w:t>4</w:t>
            </w:r>
            <w:r>
              <w:rPr>
                <w:rFonts w:hint="eastAsia" w:ascii="Times New Roman" w:hAnsi="Times New Roman" w:cs="Times New Roman" w:eastAsiaTheme="minorEastAsia"/>
                <w:color w:val="auto"/>
                <w:kern w:val="2"/>
                <w:sz w:val="20"/>
                <w:szCs w:val="20"/>
                <w:highlight w:val="none"/>
                <w:lang w:val="en-US" w:eastAsia="zh-CN" w:bidi="ar-SA"/>
              </w:rPr>
              <w:t>m</w:t>
            </w:r>
            <w:r>
              <w:rPr>
                <w:rFonts w:hint="eastAsia" w:ascii="Times New Roman" w:hAnsi="Times New Roman" w:cs="Times New Roman"/>
                <w:color w:val="auto"/>
                <w:kern w:val="2"/>
                <w:sz w:val="20"/>
                <w:szCs w:val="20"/>
                <w:highlight w:val="none"/>
                <w:lang w:val="en-US" w:eastAsia="zh-CN" w:bidi="ar-SA"/>
              </w:rPr>
              <w:t>³</w:t>
            </w:r>
            <w:r>
              <w:rPr>
                <w:rFonts w:hint="eastAsia" w:ascii="Times New Roman" w:hAnsi="Times New Roman" w:cs="Times New Roman" w:eastAsiaTheme="minorEastAsia"/>
                <w:color w:val="auto"/>
                <w:kern w:val="2"/>
                <w:sz w:val="20"/>
                <w:szCs w:val="20"/>
                <w:highlight w:val="none"/>
                <w:lang w:val="en-US" w:eastAsia="zh-CN" w:bidi="ar-SA"/>
              </w:rPr>
              <w:t>/d供水水源地</w:t>
            </w:r>
            <w:r>
              <w:rPr>
                <w:rFonts w:hint="eastAsia" w:ascii="Times New Roman" w:hAnsi="Times New Roman" w:cs="Times New Roman"/>
                <w:color w:val="auto"/>
                <w:kern w:val="2"/>
                <w:sz w:val="20"/>
                <w:szCs w:val="20"/>
                <w:highlight w:val="none"/>
                <w:lang w:val="en-US" w:eastAsia="zh-CN" w:bidi="ar-SA"/>
              </w:rPr>
              <w:t>一</w:t>
            </w:r>
            <w:r>
              <w:rPr>
                <w:rFonts w:hint="eastAsia" w:ascii="Times New Roman" w:hAnsi="Times New Roman" w:cs="Times New Roman" w:eastAsiaTheme="minorEastAsia"/>
                <w:color w:val="auto"/>
                <w:kern w:val="2"/>
                <w:sz w:val="20"/>
                <w:szCs w:val="20"/>
                <w:highlight w:val="none"/>
                <w:lang w:val="en-US" w:eastAsia="zh-CN" w:bidi="ar-SA"/>
              </w:rPr>
              <w:t>处，总面积约28km</w:t>
            </w:r>
            <w:r>
              <w:rPr>
                <w:rFonts w:hint="eastAsia" w:ascii="Times New Roman" w:hAnsi="Times New Roman" w:cs="Times New Roman"/>
                <w:color w:val="auto"/>
                <w:kern w:val="2"/>
                <w:sz w:val="20"/>
                <w:szCs w:val="20"/>
                <w:highlight w:val="none"/>
                <w:lang w:val="en-US" w:eastAsia="zh-CN" w:bidi="ar-SA"/>
              </w:rPr>
              <w:t>²，</w:t>
            </w:r>
            <w:r>
              <w:rPr>
                <w:rFonts w:hint="eastAsia" w:ascii="Times New Roman" w:hAnsi="Times New Roman" w:cs="Times New Roman" w:eastAsiaTheme="minorEastAsia"/>
                <w:color w:val="auto"/>
                <w:kern w:val="2"/>
                <w:sz w:val="20"/>
                <w:szCs w:val="20"/>
                <w:highlight w:val="none"/>
                <w:lang w:val="en-US" w:eastAsia="zh-CN" w:bidi="ar-SA"/>
              </w:rPr>
              <w:t>布设25组37眼探采结合井</w:t>
            </w:r>
            <w:r>
              <w:rPr>
                <w:rFonts w:hint="eastAsia" w:ascii="Times New Roman" w:hAnsi="Times New Roman" w:cs="Times New Roman"/>
                <w:color w:val="auto"/>
                <w:kern w:val="2"/>
                <w:sz w:val="20"/>
                <w:szCs w:val="20"/>
                <w:highlight w:val="none"/>
                <w:lang w:val="en-US" w:eastAsia="zh-CN" w:bidi="ar-SA"/>
              </w:rPr>
              <w:t>，</w:t>
            </w:r>
            <w:r>
              <w:rPr>
                <w:rFonts w:hint="eastAsia" w:ascii="Times New Roman" w:hAnsi="Times New Roman" w:cs="Times New Roman" w:eastAsiaTheme="minorEastAsia"/>
                <w:color w:val="auto"/>
                <w:kern w:val="2"/>
                <w:sz w:val="20"/>
                <w:szCs w:val="20"/>
                <w:highlight w:val="none"/>
                <w:lang w:val="en-US" w:eastAsia="zh-CN" w:bidi="ar-SA"/>
              </w:rPr>
              <w:t>2000</w:t>
            </w:r>
            <w:r>
              <w:rPr>
                <w:rFonts w:hint="eastAsia" w:ascii="Times New Roman" w:hAnsi="Times New Roman" w:cs="Times New Roman"/>
                <w:color w:val="auto"/>
                <w:kern w:val="2"/>
                <w:sz w:val="20"/>
                <w:szCs w:val="20"/>
                <w:highlight w:val="none"/>
                <w:lang w:val="en-US" w:eastAsia="zh-CN" w:bidi="ar-SA"/>
              </w:rPr>
              <w:t>m³</w:t>
            </w:r>
            <w:r>
              <w:rPr>
                <w:rFonts w:hint="eastAsia" w:ascii="Times New Roman" w:hAnsi="Times New Roman" w:cs="Times New Roman" w:eastAsiaTheme="minorEastAsia"/>
                <w:color w:val="auto"/>
                <w:kern w:val="2"/>
                <w:sz w:val="20"/>
                <w:szCs w:val="20"/>
                <w:highlight w:val="none"/>
                <w:lang w:val="en-US" w:eastAsia="zh-CN" w:bidi="ar-SA"/>
              </w:rPr>
              <w:t>沉砂池稳压池2座</w:t>
            </w:r>
            <w:r>
              <w:rPr>
                <w:rFonts w:hint="eastAsia" w:ascii="Times New Roman" w:hAnsi="Times New Roman" w:cs="Times New Roman"/>
                <w:color w:val="auto"/>
                <w:kern w:val="2"/>
                <w:sz w:val="20"/>
                <w:szCs w:val="20"/>
                <w:highlight w:val="none"/>
                <w:lang w:val="en-US" w:eastAsia="zh-CN" w:bidi="ar-SA"/>
              </w:rPr>
              <w:t>，</w:t>
            </w:r>
            <w:r>
              <w:rPr>
                <w:rFonts w:hint="eastAsia" w:ascii="Times New Roman" w:hAnsi="Times New Roman" w:cs="Times New Roman" w:eastAsiaTheme="minorEastAsia"/>
                <w:color w:val="auto"/>
                <w:kern w:val="2"/>
                <w:sz w:val="20"/>
                <w:szCs w:val="20"/>
                <w:highlight w:val="none"/>
                <w:lang w:val="en-US" w:eastAsia="zh-CN" w:bidi="ar-SA"/>
              </w:rPr>
              <w:t>36.13km输水管道</w:t>
            </w:r>
            <w:r>
              <w:rPr>
                <w:rFonts w:hint="eastAsia" w:ascii="Times New Roman" w:hAnsi="Times New Roman" w:cs="Times New Roman"/>
                <w:color w:val="auto"/>
                <w:kern w:val="2"/>
                <w:sz w:val="20"/>
                <w:szCs w:val="20"/>
                <w:highlight w:val="none"/>
                <w:lang w:val="en-US" w:eastAsia="zh-CN" w:bidi="ar-SA"/>
              </w:rPr>
              <w:t>，</w:t>
            </w:r>
            <w:r>
              <w:rPr>
                <w:rFonts w:hint="eastAsia" w:ascii="Times New Roman" w:hAnsi="Times New Roman" w:cs="Times New Roman" w:eastAsiaTheme="minorEastAsia"/>
                <w:color w:val="auto"/>
                <w:kern w:val="2"/>
                <w:sz w:val="20"/>
                <w:szCs w:val="20"/>
                <w:highlight w:val="none"/>
                <w:lang w:val="en-US" w:eastAsia="zh-CN" w:bidi="ar-SA"/>
              </w:rPr>
              <w:t>30000</w:t>
            </w:r>
            <w:r>
              <w:rPr>
                <w:rFonts w:hint="eastAsia" w:ascii="Times New Roman" w:hAnsi="Times New Roman" w:cs="Times New Roman"/>
                <w:color w:val="auto"/>
                <w:kern w:val="2"/>
                <w:sz w:val="20"/>
                <w:szCs w:val="20"/>
                <w:highlight w:val="none"/>
                <w:lang w:val="en-US" w:eastAsia="zh-CN" w:bidi="ar-SA"/>
              </w:rPr>
              <w:t>m³</w:t>
            </w:r>
            <w:r>
              <w:rPr>
                <w:rFonts w:hint="eastAsia" w:ascii="Times New Roman" w:hAnsi="Times New Roman" w:cs="Times New Roman" w:eastAsiaTheme="minorEastAsia"/>
                <w:color w:val="auto"/>
                <w:kern w:val="2"/>
                <w:sz w:val="20"/>
                <w:szCs w:val="20"/>
                <w:highlight w:val="none"/>
                <w:lang w:val="en-US" w:eastAsia="zh-CN" w:bidi="ar-SA"/>
              </w:rPr>
              <w:t>清水池一座</w:t>
            </w:r>
            <w:r>
              <w:rPr>
                <w:rFonts w:hint="eastAsia" w:ascii="Times New Roman" w:hAnsi="Times New Roman" w:cs="Times New Roman"/>
                <w:color w:val="auto"/>
                <w:kern w:val="2"/>
                <w:sz w:val="20"/>
                <w:szCs w:val="20"/>
                <w:highlight w:val="none"/>
                <w:lang w:val="en-US" w:eastAsia="zh-CN" w:bidi="ar-SA"/>
              </w:rPr>
              <w:t>，</w:t>
            </w:r>
            <w:r>
              <w:rPr>
                <w:rFonts w:hint="eastAsia" w:ascii="Times New Roman" w:hAnsi="Times New Roman" w:cs="Times New Roman" w:eastAsiaTheme="minorEastAsia"/>
                <w:color w:val="auto"/>
                <w:kern w:val="2"/>
                <w:sz w:val="20"/>
                <w:szCs w:val="20"/>
                <w:highlight w:val="none"/>
                <w:lang w:val="en-US" w:eastAsia="zh-CN" w:bidi="ar-SA"/>
              </w:rPr>
              <w:t>5.0km配水主</w:t>
            </w:r>
            <w:r>
              <w:rPr>
                <w:rFonts w:hint="eastAsia" w:ascii="Times New Roman" w:hAnsi="Times New Roman" w:cs="Times New Roman"/>
                <w:color w:val="auto"/>
                <w:kern w:val="2"/>
                <w:sz w:val="20"/>
                <w:szCs w:val="20"/>
                <w:highlight w:val="none"/>
                <w:lang w:val="en-US" w:eastAsia="zh-CN" w:bidi="ar-SA"/>
              </w:rPr>
              <w:t>干</w:t>
            </w:r>
            <w:r>
              <w:rPr>
                <w:rFonts w:hint="eastAsia" w:ascii="Times New Roman" w:hAnsi="Times New Roman" w:cs="Times New Roman" w:eastAsiaTheme="minorEastAsia"/>
                <w:color w:val="auto"/>
                <w:kern w:val="2"/>
                <w:sz w:val="20"/>
                <w:szCs w:val="20"/>
                <w:highlight w:val="none"/>
                <w:lang w:val="en-US" w:eastAsia="zh-CN" w:bidi="ar-SA"/>
              </w:rPr>
              <w:t>管及其他配套设施建设</w:t>
            </w:r>
            <w:r>
              <w:rPr>
                <w:rFonts w:hint="eastAsia" w:ascii="Times New Roman" w:hAnsi="Times New Roman" w:cs="Times New Roman"/>
                <w:color w:val="auto"/>
                <w:kern w:val="2"/>
                <w:sz w:val="20"/>
                <w:szCs w:val="20"/>
                <w:highlight w:val="none"/>
                <w:lang w:val="en-US" w:eastAsia="zh-CN" w:bidi="ar-SA"/>
              </w:rPr>
              <w:t>。</w:t>
            </w:r>
          </w:p>
        </w:tc>
        <w:tc>
          <w:tcPr>
            <w:tcW w:w="2844"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center"/>
              <w:rPr>
                <w:rFonts w:hint="eastAsia" w:ascii="Times New Roman" w:hAnsi="Times New Roman" w:cs="Times New Roman"/>
                <w:color w:val="auto"/>
                <w:kern w:val="2"/>
                <w:sz w:val="20"/>
                <w:szCs w:val="20"/>
                <w:highlight w:val="none"/>
                <w:lang w:val="en-US" w:eastAsia="zh-CN" w:bidi="ar-SA"/>
              </w:rPr>
            </w:pPr>
            <w:r>
              <w:rPr>
                <w:rFonts w:hint="eastAsia" w:ascii="Times New Roman" w:hAnsi="Times New Roman" w:cs="Times New Roman"/>
                <w:color w:val="auto"/>
                <w:kern w:val="2"/>
                <w:sz w:val="20"/>
                <w:szCs w:val="20"/>
                <w:highlight w:val="none"/>
                <w:lang w:val="en-US" w:eastAsia="zh-CN" w:bidi="ar-SA"/>
              </w:rPr>
              <w:t>经调查，该项目新建</w:t>
            </w:r>
            <w:r>
              <w:rPr>
                <w:rFonts w:hint="eastAsia" w:ascii="Times New Roman" w:hAnsi="Times New Roman" w:cs="Times New Roman" w:eastAsiaTheme="minorEastAsia"/>
                <w:color w:val="auto"/>
                <w:kern w:val="2"/>
                <w:sz w:val="20"/>
                <w:szCs w:val="20"/>
                <w:highlight w:val="none"/>
                <w:lang w:val="en-US" w:eastAsia="zh-CN" w:bidi="ar-SA"/>
              </w:rPr>
              <w:t>20×10</w:t>
            </w:r>
            <w:r>
              <w:rPr>
                <w:rFonts w:hint="eastAsia" w:ascii="Times New Roman" w:hAnsi="Times New Roman" w:eastAsia="宋体" w:cs="Times New Roman"/>
                <w:b w:val="0"/>
                <w:bCs w:val="0"/>
                <w:color w:val="auto"/>
                <w:kern w:val="2"/>
                <w:sz w:val="21"/>
                <w:szCs w:val="21"/>
                <w:highlight w:val="none"/>
                <w:u w:val="none"/>
                <w:shd w:val="clear" w:color="auto" w:fill="auto"/>
                <w:vertAlign w:val="superscript"/>
                <w:lang w:val="en-US" w:eastAsia="zh-CN" w:bidi="ar-SA"/>
              </w:rPr>
              <w:t>4</w:t>
            </w:r>
            <w:r>
              <w:rPr>
                <w:rFonts w:hint="eastAsia" w:ascii="Times New Roman" w:hAnsi="Times New Roman" w:cs="Times New Roman"/>
                <w:color w:val="auto"/>
                <w:kern w:val="2"/>
                <w:sz w:val="20"/>
                <w:szCs w:val="20"/>
                <w:highlight w:val="none"/>
                <w:lang w:val="en-US" w:eastAsia="zh-CN" w:bidi="ar-SA"/>
              </w:rPr>
              <w:t>m³</w:t>
            </w:r>
            <w:r>
              <w:rPr>
                <w:rFonts w:hint="eastAsia" w:ascii="Times New Roman" w:hAnsi="Times New Roman" w:cs="Times New Roman" w:eastAsiaTheme="minorEastAsia"/>
                <w:color w:val="auto"/>
                <w:kern w:val="2"/>
                <w:sz w:val="20"/>
                <w:szCs w:val="20"/>
                <w:highlight w:val="none"/>
                <w:lang w:val="en-US" w:eastAsia="zh-CN" w:bidi="ar-SA"/>
              </w:rPr>
              <w:t>/d供水水源地</w:t>
            </w:r>
            <w:r>
              <w:rPr>
                <w:rFonts w:hint="eastAsia" w:ascii="Times New Roman" w:hAnsi="Times New Roman" w:cs="Times New Roman"/>
                <w:color w:val="auto"/>
                <w:kern w:val="2"/>
                <w:sz w:val="20"/>
                <w:szCs w:val="20"/>
                <w:highlight w:val="none"/>
                <w:lang w:val="en-US" w:eastAsia="zh-CN" w:bidi="ar-SA"/>
              </w:rPr>
              <w:t>一</w:t>
            </w:r>
            <w:r>
              <w:rPr>
                <w:rFonts w:hint="eastAsia" w:ascii="Times New Roman" w:hAnsi="Times New Roman" w:cs="Times New Roman" w:eastAsiaTheme="minorEastAsia"/>
                <w:color w:val="auto"/>
                <w:kern w:val="2"/>
                <w:sz w:val="20"/>
                <w:szCs w:val="20"/>
                <w:highlight w:val="none"/>
                <w:lang w:val="en-US" w:eastAsia="zh-CN" w:bidi="ar-SA"/>
              </w:rPr>
              <w:t>处，总面积约28km</w:t>
            </w:r>
            <w:r>
              <w:rPr>
                <w:rFonts w:hint="eastAsia" w:ascii="Times New Roman" w:hAnsi="Times New Roman" w:cs="Times New Roman"/>
                <w:color w:val="auto"/>
                <w:kern w:val="2"/>
                <w:sz w:val="20"/>
                <w:szCs w:val="20"/>
                <w:highlight w:val="none"/>
                <w:lang w:val="en-US" w:eastAsia="zh-CN" w:bidi="ar-SA"/>
              </w:rPr>
              <w:t>²，布设24组25眼探采结合井（其中13组单井，11组双井），</w:t>
            </w:r>
            <w:r>
              <w:rPr>
                <w:rFonts w:hint="eastAsia" w:ascii="Times New Roman" w:hAnsi="Times New Roman" w:cs="Times New Roman" w:eastAsiaTheme="minorEastAsia"/>
                <w:color w:val="auto"/>
                <w:kern w:val="2"/>
                <w:sz w:val="20"/>
                <w:szCs w:val="20"/>
                <w:highlight w:val="none"/>
                <w:lang w:val="en-US" w:eastAsia="zh-CN" w:bidi="ar-SA"/>
              </w:rPr>
              <w:t>2000</w:t>
            </w:r>
            <w:r>
              <w:rPr>
                <w:rFonts w:hint="eastAsia" w:ascii="Times New Roman" w:hAnsi="Times New Roman" w:cs="Times New Roman"/>
                <w:color w:val="auto"/>
                <w:kern w:val="2"/>
                <w:sz w:val="20"/>
                <w:szCs w:val="20"/>
                <w:highlight w:val="none"/>
                <w:lang w:val="en-US" w:eastAsia="zh-CN" w:bidi="ar-SA"/>
              </w:rPr>
              <w:t>m³</w:t>
            </w:r>
            <w:r>
              <w:rPr>
                <w:rFonts w:hint="eastAsia" w:ascii="Times New Roman" w:hAnsi="Times New Roman" w:cs="Times New Roman" w:eastAsiaTheme="minorEastAsia"/>
                <w:color w:val="auto"/>
                <w:kern w:val="2"/>
                <w:sz w:val="20"/>
                <w:szCs w:val="20"/>
                <w:highlight w:val="none"/>
                <w:lang w:val="en-US" w:eastAsia="zh-CN" w:bidi="ar-SA"/>
              </w:rPr>
              <w:t>沉砂池稳压池2座</w:t>
            </w:r>
            <w:r>
              <w:rPr>
                <w:rFonts w:hint="eastAsia" w:ascii="Times New Roman" w:hAnsi="Times New Roman" w:cs="Times New Roman"/>
                <w:color w:val="auto"/>
                <w:kern w:val="2"/>
                <w:sz w:val="20"/>
                <w:szCs w:val="20"/>
                <w:highlight w:val="none"/>
                <w:lang w:val="en-US" w:eastAsia="zh-CN" w:bidi="ar-SA"/>
              </w:rPr>
              <w:t>，</w:t>
            </w:r>
            <w:r>
              <w:rPr>
                <w:rFonts w:hint="eastAsia" w:ascii="Times New Roman" w:hAnsi="Times New Roman" w:cs="Times New Roman" w:eastAsiaTheme="minorEastAsia"/>
                <w:color w:val="auto"/>
                <w:kern w:val="2"/>
                <w:sz w:val="20"/>
                <w:szCs w:val="20"/>
                <w:highlight w:val="none"/>
                <w:lang w:val="en-US" w:eastAsia="zh-CN" w:bidi="ar-SA"/>
              </w:rPr>
              <w:t>36.13km</w:t>
            </w:r>
            <w:r>
              <w:rPr>
                <w:rFonts w:hint="eastAsia" w:ascii="Times New Roman" w:hAnsi="Times New Roman" w:cs="Times New Roman"/>
                <w:color w:val="auto"/>
                <w:kern w:val="2"/>
                <w:sz w:val="20"/>
                <w:szCs w:val="20"/>
                <w:highlight w:val="none"/>
                <w:lang w:val="en-US" w:eastAsia="zh-CN" w:bidi="ar-SA"/>
              </w:rPr>
              <w:t>输水管道，40000m³清水池一座。3</w:t>
            </w:r>
            <w:r>
              <w:rPr>
                <w:rFonts w:hint="eastAsia" w:ascii="Times New Roman" w:hAnsi="Times New Roman" w:cs="Times New Roman" w:eastAsiaTheme="minorEastAsia"/>
                <w:color w:val="auto"/>
                <w:kern w:val="2"/>
                <w:sz w:val="20"/>
                <w:szCs w:val="20"/>
                <w:highlight w:val="none"/>
                <w:lang w:val="en-US" w:eastAsia="zh-CN" w:bidi="ar-SA"/>
              </w:rPr>
              <w:t>.0km配水主</w:t>
            </w:r>
            <w:r>
              <w:rPr>
                <w:rFonts w:hint="eastAsia" w:ascii="Times New Roman" w:hAnsi="Times New Roman" w:cs="Times New Roman"/>
                <w:color w:val="auto"/>
                <w:kern w:val="2"/>
                <w:sz w:val="20"/>
                <w:szCs w:val="20"/>
                <w:highlight w:val="none"/>
                <w:lang w:val="en-US" w:eastAsia="zh-CN" w:bidi="ar-SA"/>
              </w:rPr>
              <w:t>干</w:t>
            </w:r>
            <w:r>
              <w:rPr>
                <w:rFonts w:hint="eastAsia" w:ascii="Times New Roman" w:hAnsi="Times New Roman" w:cs="Times New Roman" w:eastAsiaTheme="minorEastAsia"/>
                <w:color w:val="auto"/>
                <w:kern w:val="2"/>
                <w:sz w:val="20"/>
                <w:szCs w:val="20"/>
                <w:highlight w:val="none"/>
                <w:lang w:val="en-US" w:eastAsia="zh-CN" w:bidi="ar-SA"/>
              </w:rPr>
              <w:t>管及其他配套设施建设</w:t>
            </w:r>
          </w:p>
        </w:tc>
        <w:tc>
          <w:tcPr>
            <w:tcW w:w="847" w:type="dxa"/>
            <w:vAlign w:val="center"/>
          </w:tcPr>
          <w:p>
            <w:pPr>
              <w:pStyle w:val="9"/>
              <w:keepNext w:val="0"/>
              <w:keepLines w:val="0"/>
              <w:pageBreakBefore w:val="0"/>
              <w:suppressLineNumbers w:val="0"/>
              <w:kinsoku w:val="0"/>
              <w:wordWrap/>
              <w:overflowPunct w:val="0"/>
              <w:topLinePunct w:val="0"/>
              <w:autoSpaceDE/>
              <w:autoSpaceDN/>
              <w:bidi w:val="0"/>
              <w:adjustRightInd/>
              <w:snapToGrid/>
              <w:spacing w:before="0" w:beforeLines="0" w:beforeAutospacing="0" w:after="0" w:afterLines="0" w:afterAutospacing="0" w:line="246" w:lineRule="exact"/>
              <w:ind w:left="0" w:right="102"/>
              <w:jc w:val="center"/>
              <w:rPr>
                <w:rFonts w:hint="eastAsia" w:ascii="Times New Roman" w:hAnsi="Times New Roman" w:cs="Times New Roman"/>
                <w:color w:val="auto"/>
                <w:kern w:val="2"/>
                <w:sz w:val="20"/>
                <w:szCs w:val="20"/>
                <w:highlight w:val="none"/>
                <w:lang w:val="en-US" w:eastAsia="zh-CN" w:bidi="ar-SA"/>
              </w:rPr>
            </w:pPr>
            <w:r>
              <w:rPr>
                <w:rFonts w:hint="eastAsia" w:ascii="Times New Roman" w:hAnsi="Times New Roman" w:cs="Times New Roman"/>
                <w:color w:val="auto"/>
                <w:kern w:val="2"/>
                <w:sz w:val="20"/>
                <w:szCs w:val="20"/>
                <w:highlight w:val="none"/>
                <w:lang w:val="en-US" w:eastAsia="zh-CN" w:bidi="ar-SA"/>
              </w:rPr>
              <w:t>否</w:t>
            </w:r>
          </w:p>
        </w:tc>
      </w:tr>
    </w:tbl>
    <w:p>
      <w:pPr>
        <w:adjustRightInd w:val="0"/>
        <w:spacing w:line="520" w:lineRule="exact"/>
        <w:ind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根据《关于印发环评管理中部分行业建设项目重大变动清单的通知》（环办〔</w:t>
      </w:r>
      <w:r>
        <w:rPr>
          <w:rFonts w:hint="default" w:ascii="Times New Roman" w:hAnsi="Times New Roman" w:eastAsia="仿宋_GB2312" w:cs="Times New Roman"/>
          <w:sz w:val="28"/>
          <w:szCs w:val="28"/>
          <w:lang w:val="en-US" w:eastAsia="zh-CN"/>
        </w:rPr>
        <w:t>2015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52 </w:t>
      </w:r>
      <w:r>
        <w:rPr>
          <w:rFonts w:hint="eastAsia" w:ascii="Times New Roman" w:hAnsi="Times New Roman" w:eastAsia="仿宋_GB2312" w:cs="Times New Roman"/>
          <w:sz w:val="28"/>
          <w:szCs w:val="28"/>
          <w:lang w:val="en-US" w:eastAsia="zh-CN"/>
        </w:rPr>
        <w:t>号）中水利建设项目（枢纽类和引调水工程）（试行）重大变动清单，本项目不涉及重大变更。</w:t>
      </w:r>
    </w:p>
    <w:p>
      <w:pPr>
        <w:adjustRightInd w:val="0"/>
        <w:spacing w:line="520" w:lineRule="exact"/>
        <w:ind w:firstLine="562" w:firstLineChars="200"/>
        <w:jc w:val="left"/>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三、环境保护措施落实情况</w:t>
      </w:r>
    </w:p>
    <w:p>
      <w:pPr>
        <w:adjustRightInd w:val="0"/>
        <w:spacing w:line="520" w:lineRule="exact"/>
        <w:ind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（1）三同时执行情况</w:t>
      </w:r>
    </w:p>
    <w:p>
      <w:pPr>
        <w:adjustRightInd w:val="0"/>
        <w:spacing w:line="520" w:lineRule="exact"/>
        <w:ind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本项目2012年6月29日</w:t>
      </w:r>
      <w:r>
        <w:rPr>
          <w:rFonts w:hint="eastAsia" w:ascii="Times New Roman" w:hAnsi="Times New Roman" w:eastAsia="仿宋_GB2312" w:cs="Times New Roman"/>
          <w:sz w:val="28"/>
          <w:szCs w:val="28"/>
          <w:lang w:val="en-US" w:eastAsia="zh-CN"/>
        </w:rPr>
        <w:t>获得巴州环保局的批复，</w:t>
      </w:r>
      <w:r>
        <w:rPr>
          <w:rFonts w:hint="eastAsia" w:ascii="Times New Roman" w:hAnsi="Times New Roman" w:eastAsia="仿宋_GB2312" w:cs="Times New Roman"/>
          <w:sz w:val="28"/>
          <w:szCs w:val="28"/>
          <w:lang w:val="en-US" w:eastAsia="zh-CN"/>
        </w:rPr>
        <w:t>同意该项目建设，文号为：巴环控函〔2012〕444号。</w:t>
      </w:r>
    </w:p>
    <w:p>
      <w:pPr>
        <w:adjustRightInd w:val="0"/>
        <w:spacing w:line="520" w:lineRule="exact"/>
        <w:ind w:firstLine="560" w:firstLineChars="20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）水污染控制措施</w:t>
      </w:r>
    </w:p>
    <w:p>
      <w:pPr>
        <w:adjustRightInd w:val="0"/>
        <w:spacing w:line="520" w:lineRule="exact"/>
        <w:ind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本次验收内容营运期主要废水为配水厂生活污水，依托一期进行合理合法处置。</w:t>
      </w:r>
    </w:p>
    <w:p>
      <w:pPr>
        <w:adjustRightInd w:val="0"/>
        <w:spacing w:line="520" w:lineRule="exact"/>
        <w:ind w:firstLine="560" w:firstLineChars="20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）噪声污染控制措施</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本次验收内容营运期主要噪声为工程建成后泵站运行及闸门启闭时产生的噪声对周边声环境可能产生影响，由于项目区周围两公里范围内无居住点等环境敏感目标，且噪声为短暂性影响，对周围环境影响不大。</w:t>
      </w:r>
    </w:p>
    <w:p>
      <w:pPr>
        <w:adjustRightInd w:val="0"/>
        <w:spacing w:line="520" w:lineRule="exact"/>
        <w:ind w:firstLine="560" w:firstLineChars="200"/>
        <w:jc w:val="lef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固废污染控制措施</w:t>
      </w:r>
    </w:p>
    <w:p>
      <w:pPr>
        <w:pStyle w:val="3"/>
        <w:keepNext w:val="0"/>
        <w:keepLines w:val="0"/>
        <w:pageBreakBefore w:val="0"/>
        <w:widowControl w:val="0"/>
        <w:kinsoku w:val="0"/>
        <w:wordWrap/>
        <w:overflowPunct/>
        <w:topLinePunct w:val="0"/>
        <w:autoSpaceDE/>
        <w:autoSpaceDN/>
        <w:bidi w:val="0"/>
        <w:adjustRightInd/>
        <w:snapToGrid/>
        <w:spacing w:beforeLines="0" w:afterLines="0" w:line="360" w:lineRule="auto"/>
        <w:ind w:left="0" w:right="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本次验收内容营运期主要</w:t>
      </w:r>
      <w:r>
        <w:rPr>
          <w:rFonts w:hint="eastAsia" w:ascii="Times New Roman" w:hAnsi="Times New Roman" w:eastAsia="仿宋_GB2312" w:cs="Times New Roman"/>
          <w:kern w:val="2"/>
          <w:sz w:val="28"/>
          <w:szCs w:val="28"/>
          <w:lang w:val="en-US" w:eastAsia="zh-CN" w:bidi="ar-SA"/>
        </w:rPr>
        <w:t>固体废物主要为管理区职工的生活垃圾。运行期生活垃圾的数量较少。管理区每年生活垃圾存放于垃圾箱内，垃圾定期清运至乌拉斯台生活垃圾处理场，要求垃圾处理率达到100%，以避免生活垃圾对环境可能带来的污染。</w:t>
      </w:r>
    </w:p>
    <w:p>
      <w:pPr>
        <w:numPr>
          <w:ilvl w:val="0"/>
          <w:numId w:val="1"/>
        </w:numPr>
        <w:adjustRightInd w:val="0"/>
        <w:spacing w:line="520" w:lineRule="exact"/>
        <w:ind w:firstLine="562" w:firstLineChars="200"/>
        <w:jc w:val="left"/>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验收结论</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库尔勒市城市供水二期扩建工程在运营过程中</w:t>
      </w:r>
      <w:r>
        <w:rPr>
          <w:rFonts w:hint="default" w:ascii="Times New Roman" w:hAnsi="Times New Roman" w:eastAsia="仿宋_GB2312" w:cs="Times New Roman"/>
          <w:kern w:val="2"/>
          <w:sz w:val="28"/>
          <w:szCs w:val="28"/>
          <w:lang w:val="en-US" w:eastAsia="zh-CN" w:bidi="ar-SA"/>
        </w:rPr>
        <w:t>基本落实了环评及批复的要求。工程建设期间，未发生污染和环保投诉事件，基本符合环境保护验收条件，经验收工作组评议，同意通过验收。</w:t>
      </w:r>
    </w:p>
    <w:p>
      <w:pPr>
        <w:rPr>
          <w:rFonts w:hint="default"/>
          <w:lang w:val="en-US" w:eastAsia="zh-CN"/>
        </w:rPr>
      </w:pPr>
    </w:p>
    <w:p>
      <w:pPr>
        <w:adjustRightInd w:val="0"/>
        <w:spacing w:line="520" w:lineRule="exact"/>
        <w:ind w:firstLine="3920" w:firstLineChars="1400"/>
        <w:jc w:val="both"/>
        <w:rPr>
          <w:rFonts w:hint="default" w:ascii="Times New Roman" w:hAnsi="Times New Roman" w:eastAsia="仿宋_GB2312" w:cs="Times New Roman"/>
          <w:sz w:val="28"/>
          <w:szCs w:val="28"/>
          <w:lang w:val="en-US" w:eastAsia="zh-CN"/>
        </w:rPr>
      </w:pPr>
    </w:p>
    <w:p>
      <w:pPr>
        <w:adjustRightInd w:val="0"/>
        <w:spacing w:line="520" w:lineRule="exact"/>
        <w:ind w:firstLine="3920" w:firstLineChars="1400"/>
        <w:jc w:val="both"/>
        <w:rPr>
          <w:rFonts w:hint="default" w:ascii="Times New Roman" w:hAnsi="Times New Roman" w:eastAsia="仿宋_GB2312" w:cs="Times New Roman"/>
          <w:sz w:val="28"/>
          <w:szCs w:val="28"/>
          <w:lang w:val="en-US" w:eastAsia="zh-CN"/>
        </w:rPr>
      </w:pPr>
    </w:p>
    <w:p>
      <w:pPr>
        <w:adjustRightInd w:val="0"/>
        <w:spacing w:line="520" w:lineRule="exact"/>
        <w:ind w:firstLine="3920" w:firstLineChars="1400"/>
        <w:jc w:val="both"/>
        <w:rPr>
          <w:rFonts w:hint="default" w:ascii="Times New Roman" w:hAnsi="Times New Roman" w:eastAsia="仿宋_GB2312" w:cs="Times New Roman"/>
          <w:sz w:val="28"/>
          <w:szCs w:val="28"/>
          <w:lang w:val="en-US" w:eastAsia="zh-CN"/>
        </w:rPr>
      </w:pPr>
    </w:p>
    <w:p>
      <w:pPr>
        <w:adjustRightInd w:val="0"/>
        <w:spacing w:line="520" w:lineRule="exact"/>
        <w:ind w:firstLine="3920" w:firstLineChars="14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验收组长：</w:t>
      </w:r>
    </w:p>
    <w:p>
      <w:pPr>
        <w:adjustRightInd w:val="0"/>
        <w:spacing w:line="52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验收组员：</w:t>
      </w:r>
    </w:p>
    <w:p>
      <w:pPr>
        <w:pStyle w:val="2"/>
        <w:numPr>
          <w:ilvl w:val="0"/>
          <w:numId w:val="0"/>
        </w:numPr>
        <w:rPr>
          <w:rFonts w:hint="default" w:ascii="Times New Roman" w:hAnsi="Times New Roman" w:eastAsia="仿宋_GB2312" w:cs="Times New Roman"/>
          <w:kern w:val="2"/>
          <w:sz w:val="28"/>
          <w:szCs w:val="28"/>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val="en-US" w:eastAsia="zh-CN"/>
      </w:rPr>
    </w:pPr>
    <w:r>
      <w:rPr>
        <w:rFonts w:hint="eastAsia" w:eastAsiaTheme="minorEastAsia"/>
        <w:lang w:val="en-US" w:eastAsia="zh-CN"/>
      </w:rPr>
      <w:t>库尔勒市城市供水二期扩建工程竣工环境保护验收意见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55BDE"/>
    <w:multiLevelType w:val="singleLevel"/>
    <w:tmpl w:val="08C55B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6257A"/>
    <w:rsid w:val="1D6510EF"/>
    <w:rsid w:val="7FA7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2022-01-20T07:22:00Z</dcterms:created>
  <dc:creator>DELL</dc:creator>
  <cp:lastModifiedBy>快乐的小乌龟</cp:lastModifiedBy>
  <cp:lastPrinted>2022-01-26T04:16:27Z</cp:lastPrinted>
  <dcterms:modified xsi:type="dcterms:W3CDTF">2022-01-26T04:17:28Z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EDE426D09786492BB82620EB9FDA731F</vt:lpwstr>
  </property>
</Properties>
</file>