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rPr>
          <w:rFonts w:hint="default" w:ascii="Times New Roman" w:hAnsi="Times New Roman" w:cs="Times New Roman"/>
          <w:b/>
          <w:bCs/>
          <w:color w:val="auto"/>
          <w:sz w:val="36"/>
          <w:szCs w:val="36"/>
        </w:rPr>
      </w:pPr>
    </w:p>
    <w:p>
      <w:pPr>
        <w:spacing w:line="640" w:lineRule="exact"/>
        <w:rPr>
          <w:rFonts w:hint="default" w:ascii="Times New Roman" w:hAnsi="Times New Roman" w:cs="Times New Roman"/>
          <w:b/>
          <w:bCs/>
          <w:color w:val="auto"/>
          <w:sz w:val="36"/>
          <w:szCs w:val="36"/>
        </w:rPr>
      </w:pPr>
    </w:p>
    <w:p>
      <w:pPr>
        <w:spacing w:line="640" w:lineRule="exact"/>
        <w:ind w:left="0" w:leftChars="0" w:firstLine="0" w:firstLineChars="0"/>
        <w:jc w:val="center"/>
        <w:rPr>
          <w:rFonts w:hint="eastAsia" w:ascii="宋体" w:hAnsi="宋体" w:eastAsia="宋体" w:cs="宋体"/>
          <w:b/>
          <w:bCs/>
          <w:color w:val="auto"/>
          <w:sz w:val="44"/>
          <w:szCs w:val="44"/>
        </w:rPr>
      </w:pPr>
      <w:r>
        <w:rPr>
          <w:rFonts w:hint="eastAsia" w:ascii="宋体" w:hAnsi="宋体" w:cs="宋体"/>
          <w:b/>
          <w:bCs/>
          <w:color w:val="auto"/>
          <w:sz w:val="44"/>
          <w:szCs w:val="44"/>
          <w:lang w:eastAsia="zh-CN"/>
        </w:rPr>
        <w:t>巴州好绿筑科技有限公司绿色装配式建筑产业园建设项目（一期）</w:t>
      </w:r>
      <w:r>
        <w:rPr>
          <w:rFonts w:hint="eastAsia" w:ascii="宋体" w:hAnsi="宋体" w:eastAsia="宋体" w:cs="宋体"/>
          <w:b/>
          <w:bCs/>
          <w:color w:val="auto"/>
          <w:sz w:val="44"/>
          <w:szCs w:val="44"/>
        </w:rPr>
        <w:t>竣工环境保护</w:t>
      </w:r>
    </w:p>
    <w:p>
      <w:pPr>
        <w:spacing w:line="640" w:lineRule="exact"/>
        <w:ind w:left="0" w:leftChars="0" w:firstLine="0" w:firstLineChars="0"/>
        <w:jc w:val="center"/>
        <w:rPr>
          <w:rFonts w:hint="default" w:ascii="宋体" w:hAnsi="宋体" w:eastAsia="宋体" w:cs="宋体"/>
          <w:b/>
          <w:bCs/>
          <w:color w:val="auto"/>
          <w:sz w:val="36"/>
          <w:szCs w:val="36"/>
          <w:lang w:val="en-US" w:eastAsia="zh-CN"/>
        </w:rPr>
      </w:pPr>
      <w:r>
        <w:rPr>
          <w:rFonts w:hint="eastAsia" w:ascii="宋体" w:hAnsi="宋体" w:eastAsia="宋体" w:cs="宋体"/>
          <w:b/>
          <w:bCs/>
          <w:color w:val="auto"/>
          <w:sz w:val="44"/>
          <w:szCs w:val="44"/>
        </w:rPr>
        <w:t>验收</w:t>
      </w:r>
      <w:r>
        <w:rPr>
          <w:rFonts w:hint="eastAsia" w:ascii="宋体" w:hAnsi="宋体" w:eastAsia="宋体" w:cs="宋体"/>
          <w:b/>
          <w:bCs/>
          <w:color w:val="auto"/>
          <w:sz w:val="44"/>
          <w:szCs w:val="44"/>
          <w:lang w:eastAsia="zh-CN"/>
        </w:rPr>
        <w:t>监测报告</w:t>
      </w:r>
      <w:r>
        <w:rPr>
          <w:rFonts w:hint="eastAsia" w:ascii="宋体" w:hAnsi="宋体" w:cs="宋体"/>
          <w:b/>
          <w:bCs/>
          <w:color w:val="auto"/>
          <w:sz w:val="44"/>
          <w:szCs w:val="44"/>
          <w:lang w:val="en-US" w:eastAsia="zh-CN"/>
        </w:rPr>
        <w:t>表</w:t>
      </w: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rPr>
      </w:pPr>
    </w:p>
    <w:p>
      <w:pPr>
        <w:jc w:val="both"/>
        <w:rPr>
          <w:rFonts w:hint="eastAsia" w:ascii="宋体" w:hAnsi="宋体" w:eastAsia="宋体" w:cs="宋体"/>
          <w:b/>
          <w:bCs/>
          <w:color w:val="auto"/>
          <w:sz w:val="36"/>
          <w:szCs w:val="36"/>
        </w:rPr>
      </w:pPr>
    </w:p>
    <w:p>
      <w:pPr>
        <w:jc w:val="both"/>
        <w:rPr>
          <w:rFonts w:hint="eastAsia" w:ascii="宋体" w:hAnsi="宋体" w:eastAsia="宋体" w:cs="宋体"/>
          <w:b/>
          <w:bCs/>
          <w:color w:val="auto"/>
          <w:sz w:val="36"/>
          <w:szCs w:val="36"/>
        </w:rPr>
      </w:pPr>
    </w:p>
    <w:p>
      <w:pPr>
        <w:jc w:val="center"/>
        <w:rPr>
          <w:rFonts w:hint="eastAsia" w:ascii="宋体" w:hAnsi="宋体" w:eastAsia="宋体" w:cs="宋体"/>
          <w:b/>
          <w:bCs/>
          <w:color w:val="auto"/>
          <w:sz w:val="36"/>
          <w:szCs w:val="36"/>
          <w:lang w:eastAsia="zh-CN"/>
        </w:rPr>
      </w:pPr>
      <w:r>
        <w:rPr>
          <w:rFonts w:hint="eastAsia" w:ascii="宋体" w:hAnsi="宋体" w:cs="宋体"/>
          <w:b/>
          <w:bCs/>
          <w:color w:val="auto"/>
          <w:sz w:val="36"/>
          <w:szCs w:val="36"/>
          <w:lang w:eastAsia="zh-CN"/>
        </w:rPr>
        <w:t>巴州好绿筑科技有限公司</w:t>
      </w:r>
    </w:p>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20</w:t>
      </w:r>
      <w:r>
        <w:rPr>
          <w:rFonts w:hint="eastAsia" w:ascii="宋体" w:hAnsi="宋体" w:cs="宋体"/>
          <w:b/>
          <w:bCs/>
          <w:color w:val="auto"/>
          <w:sz w:val="36"/>
          <w:szCs w:val="36"/>
          <w:highlight w:val="none"/>
          <w:lang w:val="en-US" w:eastAsia="zh-CN"/>
        </w:rPr>
        <w:t>22</w:t>
      </w:r>
      <w:r>
        <w:rPr>
          <w:rFonts w:hint="eastAsia" w:ascii="宋体" w:hAnsi="宋体" w:eastAsia="宋体" w:cs="宋体"/>
          <w:b/>
          <w:bCs/>
          <w:color w:val="auto"/>
          <w:sz w:val="36"/>
          <w:szCs w:val="36"/>
          <w:highlight w:val="none"/>
        </w:rPr>
        <w:t>年</w:t>
      </w:r>
      <w:r>
        <w:rPr>
          <w:rFonts w:hint="eastAsia" w:ascii="宋体" w:hAnsi="宋体" w:cs="宋体"/>
          <w:b/>
          <w:bCs/>
          <w:color w:val="auto"/>
          <w:sz w:val="36"/>
          <w:szCs w:val="36"/>
          <w:highlight w:val="none"/>
          <w:lang w:val="en-US" w:eastAsia="zh-CN"/>
        </w:rPr>
        <w:t>5</w:t>
      </w:r>
      <w:r>
        <w:rPr>
          <w:rFonts w:hint="eastAsia" w:ascii="宋体" w:hAnsi="宋体" w:eastAsia="宋体" w:cs="宋体"/>
          <w:b/>
          <w:bCs/>
          <w:color w:val="auto"/>
          <w:sz w:val="36"/>
          <w:szCs w:val="36"/>
          <w:highlight w:val="none"/>
        </w:rPr>
        <w:t>月</w:t>
      </w:r>
    </w:p>
    <w:p>
      <w:pPr>
        <w:spacing w:line="640" w:lineRule="exact"/>
        <w:rPr>
          <w:rFonts w:hint="eastAsia" w:ascii="宋体" w:hAnsi="宋体" w:eastAsia="宋体" w:cs="宋体"/>
          <w:b/>
          <w:bCs/>
          <w:color w:val="auto"/>
          <w:sz w:val="32"/>
          <w:szCs w:val="32"/>
        </w:rPr>
      </w:pPr>
    </w:p>
    <w:p>
      <w:pPr>
        <w:pStyle w:val="7"/>
        <w:rPr>
          <w:rFonts w:hint="eastAsia" w:ascii="宋体" w:hAnsi="宋体" w:eastAsia="宋体" w:cs="宋体"/>
          <w:b/>
          <w:bCs/>
          <w:color w:val="auto"/>
          <w:sz w:val="32"/>
          <w:szCs w:val="32"/>
        </w:rPr>
      </w:pPr>
    </w:p>
    <w:p>
      <w:pPr>
        <w:rPr>
          <w:rFonts w:hint="eastAsia" w:ascii="宋体" w:hAnsi="宋体" w:eastAsia="宋体" w:cs="宋体"/>
          <w:b/>
          <w:bCs/>
          <w:color w:val="auto"/>
          <w:sz w:val="32"/>
          <w:szCs w:val="32"/>
        </w:rPr>
      </w:pPr>
    </w:p>
    <w:p>
      <w:pPr>
        <w:ind w:firstLine="0" w:firstLineChars="0"/>
        <w:textAlignment w:val="center"/>
        <w:rPr>
          <w:rFonts w:hint="eastAsia" w:ascii="宋体" w:hAnsi="宋体" w:eastAsia="宋体" w:cs="宋体"/>
          <w:b/>
          <w:bCs/>
          <w:color w:val="auto"/>
          <w:spacing w:val="-8"/>
          <w:sz w:val="30"/>
          <w:szCs w:val="24"/>
        </w:rPr>
      </w:pPr>
    </w:p>
    <w:p>
      <w:pPr>
        <w:keepNext w:val="0"/>
        <w:keepLines w:val="0"/>
        <w:pageBreakBefore w:val="0"/>
        <w:widowControl/>
        <w:kinsoku/>
        <w:wordWrap/>
        <w:overflowPunct/>
        <w:topLinePunct w:val="0"/>
        <w:autoSpaceDE/>
        <w:autoSpaceDN/>
        <w:bidi w:val="0"/>
        <w:adjustRightInd/>
        <w:snapToGrid/>
        <w:spacing w:after="320" w:afterLines="100"/>
        <w:jc w:val="center"/>
        <w:textAlignment w:val="auto"/>
        <w:outlineLvl w:val="9"/>
        <w:rPr>
          <w:rFonts w:hint="default" w:ascii="Times New Roman" w:hAnsi="Times New Roman" w:eastAsia="黑体" w:cs="Times New Roman"/>
          <w:b w:val="0"/>
          <w:bCs w:val="0"/>
          <w:color w:val="000000"/>
          <w:sz w:val="24"/>
          <w:szCs w:val="24"/>
          <w:lang w:eastAsia="zh-CN"/>
        </w:rPr>
        <w:sectPr>
          <w:headerReference r:id="rId5" w:type="default"/>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lowerRoman"/>
          <w:cols w:space="720" w:num="1"/>
          <w:docGrid w:type="lines" w:linePitch="319" w:charSpace="0"/>
        </w:sectPr>
      </w:pPr>
    </w:p>
    <w:p>
      <w:pPr>
        <w:ind w:firstLine="0" w:firstLineChars="0"/>
        <w:textAlignment w:val="center"/>
        <w:rPr>
          <w:rFonts w:hint="eastAsia" w:ascii="宋体" w:hAnsi="宋体" w:eastAsia="宋体" w:cs="宋体"/>
          <w:b/>
          <w:bCs/>
          <w:color w:val="auto"/>
          <w:spacing w:val="-8"/>
          <w:sz w:val="30"/>
          <w:szCs w:val="24"/>
        </w:rPr>
      </w:pPr>
    </w:p>
    <w:p>
      <w:pPr>
        <w:ind w:firstLine="0" w:firstLineChars="0"/>
        <w:textAlignment w:val="center"/>
        <w:rPr>
          <w:rFonts w:hint="eastAsia" w:ascii="宋体" w:hAnsi="宋体" w:eastAsia="宋体" w:cs="宋体"/>
          <w:b/>
          <w:bCs/>
          <w:color w:val="auto"/>
          <w:spacing w:val="-8"/>
          <w:sz w:val="30"/>
          <w:szCs w:val="24"/>
        </w:rPr>
      </w:pPr>
    </w:p>
    <w:p>
      <w:pPr>
        <w:ind w:firstLine="0" w:firstLineChars="0"/>
        <w:textAlignment w:val="center"/>
        <w:rPr>
          <w:rFonts w:hint="eastAsia" w:ascii="宋体" w:hAnsi="宋体" w:eastAsia="宋体" w:cs="宋体"/>
          <w:b/>
          <w:bCs/>
          <w:color w:val="auto"/>
          <w:spacing w:val="-8"/>
          <w:sz w:val="30"/>
          <w:szCs w:val="24"/>
        </w:rPr>
      </w:pPr>
      <w:r>
        <w:rPr>
          <w:rFonts w:hint="eastAsia" w:ascii="宋体" w:hAnsi="宋体" w:eastAsia="宋体" w:cs="宋体"/>
          <w:b/>
          <w:bCs/>
          <w:color w:val="auto"/>
          <w:spacing w:val="-8"/>
          <w:sz w:val="30"/>
          <w:szCs w:val="24"/>
        </w:rPr>
        <w:t>建设单位法定代表：         （签</w:t>
      </w:r>
      <w:r>
        <w:rPr>
          <w:rFonts w:hint="eastAsia" w:ascii="宋体" w:hAnsi="宋体" w:cs="宋体"/>
          <w:b/>
          <w:bCs/>
          <w:color w:val="auto"/>
          <w:spacing w:val="-8"/>
          <w:sz w:val="30"/>
          <w:szCs w:val="24"/>
          <w:lang w:eastAsia="zh-CN"/>
        </w:rPr>
        <w:t>字</w:t>
      </w:r>
      <w:r>
        <w:rPr>
          <w:rFonts w:hint="eastAsia" w:ascii="宋体" w:hAnsi="宋体" w:eastAsia="宋体" w:cs="宋体"/>
          <w:b/>
          <w:bCs/>
          <w:color w:val="auto"/>
          <w:spacing w:val="-8"/>
          <w:sz w:val="30"/>
          <w:szCs w:val="24"/>
        </w:rPr>
        <w:t>）</w:t>
      </w:r>
    </w:p>
    <w:p>
      <w:pPr>
        <w:ind w:firstLine="0" w:firstLineChars="0"/>
        <w:textAlignment w:val="center"/>
        <w:rPr>
          <w:rFonts w:hint="eastAsia" w:ascii="宋体" w:hAnsi="宋体" w:eastAsia="宋体" w:cs="宋体"/>
          <w:b/>
          <w:bCs/>
          <w:color w:val="auto"/>
          <w:spacing w:val="-8"/>
          <w:sz w:val="30"/>
          <w:szCs w:val="24"/>
        </w:rPr>
      </w:pPr>
      <w:r>
        <w:rPr>
          <w:rFonts w:hint="eastAsia" w:ascii="宋体" w:hAnsi="宋体" w:eastAsia="宋体" w:cs="宋体"/>
          <w:b/>
          <w:bCs/>
          <w:color w:val="auto"/>
          <w:spacing w:val="-8"/>
          <w:sz w:val="30"/>
          <w:szCs w:val="24"/>
        </w:rPr>
        <w:t>编制单位法定代表：         （签字）</w:t>
      </w:r>
    </w:p>
    <w:p>
      <w:pPr>
        <w:ind w:firstLine="0" w:firstLineChars="0"/>
        <w:textAlignment w:val="center"/>
        <w:rPr>
          <w:rFonts w:hint="eastAsia" w:ascii="宋体" w:hAnsi="宋体" w:eastAsia="宋体" w:cs="宋体"/>
          <w:b/>
          <w:bCs/>
          <w:color w:val="auto"/>
          <w:spacing w:val="-8"/>
          <w:sz w:val="30"/>
          <w:szCs w:val="24"/>
          <w:lang w:eastAsia="zh-CN"/>
        </w:rPr>
      </w:pPr>
      <w:r>
        <w:rPr>
          <w:rFonts w:hint="eastAsia" w:ascii="宋体" w:hAnsi="宋体" w:eastAsia="宋体" w:cs="宋体"/>
          <w:b/>
          <w:bCs/>
          <w:color w:val="auto"/>
          <w:spacing w:val="-8"/>
          <w:sz w:val="30"/>
          <w:szCs w:val="24"/>
        </w:rPr>
        <w:t>项 目 负 责 人：</w:t>
      </w:r>
      <w:r>
        <w:rPr>
          <w:rFonts w:hint="eastAsia" w:ascii="宋体" w:hAnsi="宋体" w:cs="宋体"/>
          <w:b/>
          <w:bCs/>
          <w:color w:val="auto"/>
          <w:spacing w:val="-8"/>
          <w:sz w:val="30"/>
          <w:szCs w:val="24"/>
          <w:lang w:val="en-US" w:eastAsia="zh-CN"/>
        </w:rPr>
        <w:t>林英</w:t>
      </w:r>
    </w:p>
    <w:p>
      <w:pPr>
        <w:ind w:firstLine="0" w:firstLineChars="0"/>
        <w:textAlignment w:val="center"/>
        <w:rPr>
          <w:rFonts w:hint="default" w:ascii="宋体" w:hAnsi="宋体" w:eastAsia="宋体" w:cs="宋体"/>
          <w:b/>
          <w:bCs/>
          <w:color w:val="auto"/>
          <w:spacing w:val="-8"/>
          <w:sz w:val="30"/>
          <w:szCs w:val="24"/>
          <w:lang w:val="en-US" w:eastAsia="zh-CN"/>
        </w:rPr>
      </w:pPr>
      <w:r>
        <w:rPr>
          <w:rFonts w:hint="eastAsia" w:ascii="宋体" w:hAnsi="宋体" w:eastAsia="宋体" w:cs="宋体"/>
          <w:b/>
          <w:bCs/>
          <w:color w:val="auto"/>
          <w:spacing w:val="-8"/>
          <w:sz w:val="30"/>
          <w:szCs w:val="24"/>
        </w:rPr>
        <w:t>报 告 编 写 人：</w:t>
      </w:r>
      <w:r>
        <w:rPr>
          <w:rFonts w:hint="eastAsia" w:ascii="宋体" w:hAnsi="宋体" w:cs="宋体"/>
          <w:b/>
          <w:bCs/>
          <w:color w:val="auto"/>
          <w:spacing w:val="-8"/>
          <w:sz w:val="30"/>
          <w:szCs w:val="24"/>
          <w:lang w:val="en-US" w:eastAsia="zh-CN"/>
        </w:rPr>
        <w:t>何欣燃</w:t>
      </w:r>
    </w:p>
    <w:p>
      <w:pPr>
        <w:ind w:firstLine="0" w:firstLineChars="0"/>
        <w:textAlignment w:val="center"/>
        <w:rPr>
          <w:rFonts w:hint="eastAsia" w:ascii="宋体" w:hAnsi="宋体" w:eastAsia="宋体" w:cs="宋体"/>
          <w:b/>
          <w:bCs/>
          <w:color w:val="auto"/>
          <w:spacing w:val="-8"/>
          <w:sz w:val="30"/>
          <w:szCs w:val="24"/>
          <w:lang w:eastAsia="zh-CN"/>
        </w:rPr>
      </w:pPr>
      <w:r>
        <w:rPr>
          <w:rFonts w:hint="eastAsia" w:ascii="宋体" w:hAnsi="宋体" w:cs="宋体"/>
          <w:b/>
          <w:bCs/>
          <w:color w:val="auto"/>
          <w:spacing w:val="-8"/>
          <w:sz w:val="30"/>
          <w:szCs w:val="24"/>
          <w:lang w:eastAsia="zh-CN"/>
        </w:rPr>
        <w:t>报</w:t>
      </w:r>
      <w:r>
        <w:rPr>
          <w:rFonts w:hint="eastAsia" w:ascii="宋体" w:hAnsi="宋体" w:cs="宋体"/>
          <w:b/>
          <w:bCs/>
          <w:color w:val="auto"/>
          <w:spacing w:val="-8"/>
          <w:sz w:val="30"/>
          <w:szCs w:val="24"/>
          <w:lang w:val="en-US" w:eastAsia="zh-CN"/>
        </w:rPr>
        <w:t xml:space="preserve"> </w:t>
      </w:r>
      <w:r>
        <w:rPr>
          <w:rFonts w:hint="eastAsia" w:ascii="宋体" w:hAnsi="宋体" w:cs="宋体"/>
          <w:b/>
          <w:bCs/>
          <w:color w:val="auto"/>
          <w:spacing w:val="-8"/>
          <w:sz w:val="30"/>
          <w:szCs w:val="24"/>
          <w:lang w:eastAsia="zh-CN"/>
        </w:rPr>
        <w:t>告</w:t>
      </w:r>
      <w:r>
        <w:rPr>
          <w:rFonts w:hint="eastAsia" w:ascii="宋体" w:hAnsi="宋体" w:cs="宋体"/>
          <w:b/>
          <w:bCs/>
          <w:color w:val="auto"/>
          <w:spacing w:val="-8"/>
          <w:sz w:val="30"/>
          <w:szCs w:val="24"/>
          <w:lang w:val="en-US" w:eastAsia="zh-CN"/>
        </w:rPr>
        <w:t xml:space="preserve"> </w:t>
      </w:r>
      <w:r>
        <w:rPr>
          <w:rFonts w:hint="eastAsia" w:ascii="宋体" w:hAnsi="宋体" w:cs="宋体"/>
          <w:b/>
          <w:bCs/>
          <w:color w:val="auto"/>
          <w:spacing w:val="-8"/>
          <w:sz w:val="30"/>
          <w:szCs w:val="24"/>
          <w:lang w:eastAsia="zh-CN"/>
        </w:rPr>
        <w:t>审</w:t>
      </w:r>
      <w:r>
        <w:rPr>
          <w:rFonts w:hint="eastAsia" w:ascii="宋体" w:hAnsi="宋体" w:cs="宋体"/>
          <w:b/>
          <w:bCs/>
          <w:color w:val="auto"/>
          <w:spacing w:val="-8"/>
          <w:sz w:val="30"/>
          <w:szCs w:val="24"/>
          <w:lang w:val="en-US" w:eastAsia="zh-CN"/>
        </w:rPr>
        <w:t xml:space="preserve"> </w:t>
      </w:r>
      <w:r>
        <w:rPr>
          <w:rFonts w:hint="eastAsia" w:ascii="宋体" w:hAnsi="宋体" w:cs="宋体"/>
          <w:b/>
          <w:bCs/>
          <w:color w:val="auto"/>
          <w:spacing w:val="-8"/>
          <w:sz w:val="30"/>
          <w:szCs w:val="24"/>
          <w:lang w:eastAsia="zh-CN"/>
        </w:rPr>
        <w:t>核</w:t>
      </w:r>
      <w:r>
        <w:rPr>
          <w:rFonts w:hint="eastAsia" w:ascii="宋体" w:hAnsi="宋体" w:cs="宋体"/>
          <w:b/>
          <w:bCs/>
          <w:color w:val="auto"/>
          <w:spacing w:val="-8"/>
          <w:sz w:val="30"/>
          <w:szCs w:val="24"/>
          <w:lang w:val="en-US" w:eastAsia="zh-CN"/>
        </w:rPr>
        <w:t xml:space="preserve"> </w:t>
      </w:r>
      <w:r>
        <w:rPr>
          <w:rFonts w:hint="eastAsia" w:ascii="宋体" w:hAnsi="宋体" w:cs="宋体"/>
          <w:b/>
          <w:bCs/>
          <w:color w:val="auto"/>
          <w:spacing w:val="-8"/>
          <w:sz w:val="30"/>
          <w:szCs w:val="24"/>
          <w:lang w:eastAsia="zh-CN"/>
        </w:rPr>
        <w:t>人</w:t>
      </w:r>
      <w:r>
        <w:rPr>
          <w:rFonts w:hint="eastAsia" w:ascii="宋体" w:hAnsi="宋体" w:cs="宋体"/>
          <w:b/>
          <w:bCs/>
          <w:color w:val="auto"/>
          <w:spacing w:val="-8"/>
          <w:sz w:val="30"/>
          <w:szCs w:val="24"/>
          <w:lang w:val="en-US" w:eastAsia="zh-CN"/>
        </w:rPr>
        <w:t>：聂立</w:t>
      </w:r>
      <w:r>
        <w:rPr>
          <w:rFonts w:hint="eastAsia" w:ascii="宋体" w:hAnsi="宋体" w:eastAsia="宋体" w:cs="宋体"/>
          <w:b/>
          <w:bCs/>
          <w:color w:val="auto"/>
          <w:spacing w:val="-8"/>
          <w:sz w:val="30"/>
          <w:szCs w:val="24"/>
          <w:lang w:eastAsia="zh-CN"/>
        </w:rPr>
        <w:t>（</w:t>
      </w:r>
      <w:r>
        <w:rPr>
          <w:rFonts w:hint="eastAsia" w:ascii="宋体" w:hAnsi="宋体" w:eastAsia="宋体" w:cs="宋体"/>
          <w:b/>
          <w:bCs/>
          <w:color w:val="auto"/>
          <w:spacing w:val="-8"/>
          <w:sz w:val="30"/>
          <w:szCs w:val="24"/>
          <w:lang w:val="en-US" w:eastAsia="zh-CN"/>
        </w:rPr>
        <w:t>证书编</w:t>
      </w:r>
      <w:r>
        <w:rPr>
          <w:rFonts w:hint="eastAsia" w:ascii="宋体" w:hAnsi="宋体" w:eastAsia="宋体" w:cs="宋体"/>
          <w:b/>
          <w:bCs/>
          <w:color w:val="auto"/>
          <w:spacing w:val="-8"/>
          <w:sz w:val="30"/>
          <w:szCs w:val="24"/>
          <w:highlight w:val="none"/>
          <w:lang w:val="en-US" w:eastAsia="zh-CN"/>
        </w:rPr>
        <w:t>号：2019-JCJS-2087402</w:t>
      </w:r>
      <w:r>
        <w:rPr>
          <w:rFonts w:hint="eastAsia" w:ascii="宋体" w:hAnsi="宋体" w:cs="宋体"/>
          <w:b/>
          <w:bCs/>
          <w:color w:val="auto"/>
          <w:spacing w:val="-8"/>
          <w:sz w:val="30"/>
          <w:szCs w:val="24"/>
          <w:highlight w:val="none"/>
          <w:lang w:val="en-US" w:eastAsia="zh-CN"/>
        </w:rPr>
        <w:t>6</w:t>
      </w:r>
      <w:r>
        <w:rPr>
          <w:rFonts w:hint="eastAsia" w:ascii="宋体" w:hAnsi="宋体" w:eastAsia="宋体" w:cs="宋体"/>
          <w:b/>
          <w:bCs/>
          <w:color w:val="auto"/>
          <w:spacing w:val="-8"/>
          <w:sz w:val="30"/>
          <w:szCs w:val="24"/>
          <w:highlight w:val="none"/>
          <w:lang w:val="en-US" w:eastAsia="zh-CN"/>
        </w:rPr>
        <w:t>）</w:t>
      </w:r>
    </w:p>
    <w:p>
      <w:pPr>
        <w:ind w:firstLine="570"/>
        <w:textAlignment w:val="center"/>
        <w:rPr>
          <w:rFonts w:hint="eastAsia" w:ascii="宋体" w:hAnsi="宋体" w:eastAsia="宋体" w:cs="宋体"/>
          <w:b/>
          <w:color w:val="auto"/>
          <w:spacing w:val="-8"/>
          <w:sz w:val="30"/>
          <w:szCs w:val="24"/>
        </w:rPr>
      </w:pPr>
    </w:p>
    <w:p>
      <w:pPr>
        <w:ind w:firstLine="570"/>
        <w:textAlignment w:val="center"/>
        <w:rPr>
          <w:rFonts w:hint="eastAsia" w:ascii="宋体" w:hAnsi="宋体" w:eastAsia="宋体" w:cs="宋体"/>
          <w:b/>
          <w:color w:val="auto"/>
          <w:spacing w:val="-8"/>
          <w:sz w:val="30"/>
          <w:szCs w:val="24"/>
        </w:rPr>
      </w:pPr>
    </w:p>
    <w:p>
      <w:pPr>
        <w:pStyle w:val="2"/>
        <w:rPr>
          <w:rFonts w:hint="eastAsia" w:ascii="宋体" w:hAnsi="宋体" w:eastAsia="宋体" w:cs="宋体"/>
          <w:b/>
          <w:color w:val="auto"/>
          <w:spacing w:val="-8"/>
          <w:sz w:val="30"/>
          <w:szCs w:val="24"/>
        </w:rPr>
      </w:pPr>
    </w:p>
    <w:p>
      <w:pPr>
        <w:rPr>
          <w:rFonts w:hint="eastAsia" w:ascii="宋体" w:hAnsi="宋体" w:eastAsia="宋体" w:cs="宋体"/>
          <w:color w:val="auto"/>
        </w:rPr>
      </w:pPr>
    </w:p>
    <w:p>
      <w:pPr>
        <w:ind w:firstLine="570"/>
        <w:textAlignment w:val="center"/>
        <w:rPr>
          <w:rFonts w:hint="eastAsia" w:ascii="宋体" w:hAnsi="宋体" w:eastAsia="宋体" w:cs="宋体"/>
          <w:b/>
          <w:color w:val="auto"/>
          <w:spacing w:val="-8"/>
          <w:sz w:val="30"/>
          <w:szCs w:val="24"/>
        </w:rPr>
      </w:pPr>
    </w:p>
    <w:p>
      <w:pPr>
        <w:ind w:firstLine="570"/>
        <w:textAlignment w:val="center"/>
        <w:rPr>
          <w:rFonts w:hint="eastAsia" w:ascii="宋体" w:hAnsi="宋体" w:eastAsia="宋体" w:cs="宋体"/>
          <w:b/>
          <w:color w:val="auto"/>
          <w:spacing w:val="-8"/>
          <w:sz w:val="30"/>
          <w:szCs w:val="24"/>
        </w:rPr>
      </w:pPr>
    </w:p>
    <w:p>
      <w:pPr>
        <w:ind w:firstLine="570"/>
        <w:textAlignment w:val="center"/>
        <w:rPr>
          <w:rFonts w:hint="eastAsia" w:ascii="宋体" w:hAnsi="宋体" w:eastAsia="宋体" w:cs="宋体"/>
          <w:b/>
          <w:color w:val="auto"/>
          <w:spacing w:val="-8"/>
          <w:sz w:val="30"/>
          <w:szCs w:val="24"/>
        </w:rPr>
      </w:pPr>
    </w:p>
    <w:tbl>
      <w:tblPr>
        <w:tblStyle w:val="23"/>
        <w:tblW w:w="9060" w:type="dxa"/>
        <w:jc w:val="center"/>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rPr>
          <w:trHeight w:val="1262" w:hRule="atLeast"/>
          <w:jc w:val="center"/>
        </w:trPr>
        <w:tc>
          <w:tcPr>
            <w:tcW w:w="4530" w:type="dxa"/>
            <w:noWrap w:val="0"/>
            <w:vAlign w:val="top"/>
          </w:tcPr>
          <w:p>
            <w:pPr>
              <w:spacing w:line="240" w:lineRule="auto"/>
              <w:ind w:firstLine="0" w:firstLineChars="0"/>
              <w:textAlignment w:val="center"/>
              <w:rPr>
                <w:rFonts w:hint="eastAsia" w:ascii="宋体" w:hAnsi="宋体" w:eastAsia="宋体" w:cs="宋体"/>
                <w:color w:val="auto"/>
                <w:sz w:val="28"/>
                <w:lang w:val="en-US" w:eastAsia="zh-CN"/>
              </w:rPr>
            </w:pPr>
            <w:r>
              <w:rPr>
                <w:rFonts w:hint="eastAsia" w:ascii="宋体" w:hAnsi="宋体" w:eastAsia="宋体" w:cs="宋体"/>
                <w:color w:val="auto"/>
                <w:sz w:val="28"/>
              </w:rPr>
              <w:t>建设单位：</w:t>
            </w:r>
            <w:r>
              <w:rPr>
                <w:rFonts w:hint="eastAsia" w:ascii="宋体" w:hAnsi="宋体" w:cs="宋体"/>
                <w:color w:val="auto"/>
                <w:sz w:val="28"/>
                <w:lang w:val="en-US" w:eastAsia="zh-CN"/>
              </w:rPr>
              <w:t>巴州好绿筑科技有限公司</w:t>
            </w:r>
            <w:r>
              <w:rPr>
                <w:rFonts w:hint="eastAsia" w:ascii="宋体" w:hAnsi="宋体" w:eastAsia="宋体" w:cs="宋体"/>
                <w:color w:val="auto"/>
                <w:sz w:val="28"/>
                <w:lang w:eastAsia="zh-CN"/>
              </w:rPr>
              <w:t>（盖章）</w:t>
            </w:r>
          </w:p>
        </w:tc>
        <w:tc>
          <w:tcPr>
            <w:tcW w:w="4530" w:type="dxa"/>
            <w:noWrap w:val="0"/>
            <w:vAlign w:val="top"/>
          </w:tcPr>
          <w:p>
            <w:pPr>
              <w:spacing w:line="240" w:lineRule="auto"/>
              <w:ind w:firstLine="0" w:firstLineChars="0"/>
              <w:textAlignment w:val="center"/>
              <w:rPr>
                <w:rFonts w:hint="eastAsia" w:ascii="宋体" w:hAnsi="宋体" w:eastAsia="宋体" w:cs="宋体"/>
                <w:color w:val="auto"/>
                <w:sz w:val="28"/>
                <w:lang w:eastAsia="zh-CN"/>
              </w:rPr>
            </w:pPr>
            <w:r>
              <w:rPr>
                <w:rFonts w:hint="eastAsia" w:ascii="宋体" w:hAnsi="宋体" w:eastAsia="宋体" w:cs="宋体"/>
                <w:color w:val="auto"/>
                <w:sz w:val="28"/>
              </w:rPr>
              <w:t>编制单位：</w:t>
            </w:r>
            <w:r>
              <w:rPr>
                <w:rFonts w:hint="eastAsia" w:ascii="宋体" w:hAnsi="宋体" w:cs="宋体"/>
                <w:color w:val="auto"/>
                <w:sz w:val="28"/>
                <w:lang w:eastAsia="zh-CN"/>
              </w:rPr>
              <w:t>新疆中测测试有限责任公司</w:t>
            </w:r>
            <w:r>
              <w:rPr>
                <w:rFonts w:hint="eastAsia" w:ascii="宋体" w:hAnsi="宋体" w:eastAsia="宋体" w:cs="宋体"/>
                <w:color w:val="auto"/>
                <w:sz w:val="28"/>
                <w:lang w:eastAsia="zh-CN"/>
              </w:rPr>
              <w:t>（盖章）</w:t>
            </w:r>
          </w:p>
        </w:tc>
      </w:tr>
      <w:tr>
        <w:tblPrEx>
          <w:tblCellMar>
            <w:top w:w="0" w:type="dxa"/>
            <w:left w:w="108" w:type="dxa"/>
            <w:bottom w:w="0" w:type="dxa"/>
            <w:right w:w="108" w:type="dxa"/>
          </w:tblCellMar>
        </w:tblPrEx>
        <w:trPr>
          <w:trHeight w:val="631" w:hRule="atLeast"/>
          <w:jc w:val="center"/>
        </w:trPr>
        <w:tc>
          <w:tcPr>
            <w:tcW w:w="4530" w:type="dxa"/>
            <w:noWrap w:val="0"/>
            <w:vAlign w:val="top"/>
          </w:tcPr>
          <w:p>
            <w:pPr>
              <w:spacing w:line="240" w:lineRule="auto"/>
              <w:ind w:firstLine="0" w:firstLineChars="0"/>
              <w:textAlignment w:val="center"/>
              <w:rPr>
                <w:rFonts w:hint="default" w:ascii="宋体" w:hAnsi="宋体" w:eastAsia="宋体" w:cs="宋体"/>
                <w:color w:val="auto"/>
                <w:sz w:val="28"/>
                <w:lang w:val="en-US" w:eastAsia="zh-CN"/>
              </w:rPr>
            </w:pPr>
            <w:r>
              <w:rPr>
                <w:rFonts w:hint="eastAsia" w:ascii="宋体" w:hAnsi="宋体" w:eastAsia="宋体" w:cs="宋体"/>
                <w:color w:val="auto"/>
                <w:sz w:val="28"/>
              </w:rPr>
              <w:t>电话：</w:t>
            </w:r>
            <w:r>
              <w:rPr>
                <w:rFonts w:hint="eastAsia" w:ascii="宋体" w:hAnsi="宋体" w:cs="宋体"/>
                <w:color w:val="auto"/>
                <w:sz w:val="28"/>
                <w:lang w:val="en-US" w:eastAsia="zh-CN"/>
              </w:rPr>
              <w:t>13999000757</w:t>
            </w:r>
          </w:p>
        </w:tc>
        <w:tc>
          <w:tcPr>
            <w:tcW w:w="4530" w:type="dxa"/>
            <w:noWrap w:val="0"/>
            <w:vAlign w:val="top"/>
          </w:tcPr>
          <w:p>
            <w:pPr>
              <w:spacing w:line="240" w:lineRule="auto"/>
              <w:ind w:firstLine="0" w:firstLineChars="0"/>
              <w:textAlignment w:val="center"/>
              <w:rPr>
                <w:rFonts w:hint="eastAsia" w:ascii="宋体" w:hAnsi="宋体" w:eastAsia="宋体" w:cs="宋体"/>
                <w:color w:val="auto"/>
                <w:sz w:val="28"/>
              </w:rPr>
            </w:pPr>
            <w:r>
              <w:rPr>
                <w:rFonts w:hint="eastAsia" w:ascii="宋体" w:hAnsi="宋体" w:eastAsia="宋体" w:cs="宋体"/>
                <w:color w:val="auto"/>
                <w:sz w:val="28"/>
              </w:rPr>
              <w:t>电话： 0996-2237601</w:t>
            </w:r>
          </w:p>
        </w:tc>
      </w:tr>
      <w:tr>
        <w:tblPrEx>
          <w:tblCellMar>
            <w:top w:w="0" w:type="dxa"/>
            <w:left w:w="108" w:type="dxa"/>
            <w:bottom w:w="0" w:type="dxa"/>
            <w:right w:w="108" w:type="dxa"/>
          </w:tblCellMar>
        </w:tblPrEx>
        <w:trPr>
          <w:trHeight w:val="631" w:hRule="atLeast"/>
          <w:jc w:val="center"/>
        </w:trPr>
        <w:tc>
          <w:tcPr>
            <w:tcW w:w="4530" w:type="dxa"/>
            <w:noWrap w:val="0"/>
            <w:vAlign w:val="top"/>
          </w:tcPr>
          <w:p>
            <w:pPr>
              <w:spacing w:line="240" w:lineRule="auto"/>
              <w:ind w:firstLine="0" w:firstLineChars="0"/>
              <w:textAlignment w:val="center"/>
              <w:rPr>
                <w:rFonts w:hint="eastAsia" w:ascii="宋体" w:hAnsi="宋体" w:eastAsia="宋体" w:cs="宋体"/>
                <w:color w:val="auto"/>
                <w:sz w:val="28"/>
              </w:rPr>
            </w:pPr>
            <w:r>
              <w:rPr>
                <w:rFonts w:hint="eastAsia" w:ascii="宋体" w:hAnsi="宋体" w:eastAsia="宋体" w:cs="宋体"/>
                <w:color w:val="auto"/>
                <w:sz w:val="28"/>
              </w:rPr>
              <w:t>传真：/</w:t>
            </w:r>
          </w:p>
        </w:tc>
        <w:tc>
          <w:tcPr>
            <w:tcW w:w="4530" w:type="dxa"/>
            <w:noWrap w:val="0"/>
            <w:vAlign w:val="top"/>
          </w:tcPr>
          <w:p>
            <w:pPr>
              <w:spacing w:line="240" w:lineRule="auto"/>
              <w:ind w:firstLine="0" w:firstLineChars="0"/>
              <w:textAlignment w:val="center"/>
              <w:rPr>
                <w:rFonts w:hint="eastAsia" w:ascii="宋体" w:hAnsi="宋体" w:eastAsia="宋体" w:cs="宋体"/>
                <w:b/>
                <w:color w:val="auto"/>
                <w:sz w:val="28"/>
              </w:rPr>
            </w:pPr>
            <w:r>
              <w:rPr>
                <w:rFonts w:hint="eastAsia" w:ascii="宋体" w:hAnsi="宋体" w:eastAsia="宋体" w:cs="宋体"/>
                <w:color w:val="auto"/>
                <w:sz w:val="28"/>
              </w:rPr>
              <w:t>传真：/</w:t>
            </w:r>
          </w:p>
        </w:tc>
      </w:tr>
      <w:tr>
        <w:tblPrEx>
          <w:tblCellMar>
            <w:top w:w="0" w:type="dxa"/>
            <w:left w:w="108" w:type="dxa"/>
            <w:bottom w:w="0" w:type="dxa"/>
            <w:right w:w="108" w:type="dxa"/>
          </w:tblCellMar>
        </w:tblPrEx>
        <w:trPr>
          <w:trHeight w:val="631" w:hRule="atLeast"/>
          <w:jc w:val="center"/>
        </w:trPr>
        <w:tc>
          <w:tcPr>
            <w:tcW w:w="4530" w:type="dxa"/>
            <w:noWrap w:val="0"/>
            <w:vAlign w:val="top"/>
          </w:tcPr>
          <w:p>
            <w:pPr>
              <w:spacing w:line="240" w:lineRule="auto"/>
              <w:ind w:firstLine="0" w:firstLineChars="0"/>
              <w:textAlignment w:val="center"/>
              <w:rPr>
                <w:rFonts w:hint="eastAsia" w:ascii="宋体" w:hAnsi="宋体" w:eastAsia="宋体" w:cs="宋体"/>
                <w:color w:val="auto"/>
                <w:sz w:val="28"/>
                <w:lang w:val="en-US" w:eastAsia="zh-CN"/>
              </w:rPr>
            </w:pPr>
            <w:r>
              <w:rPr>
                <w:rFonts w:hint="eastAsia" w:ascii="宋体" w:hAnsi="宋体" w:eastAsia="宋体" w:cs="宋体"/>
                <w:color w:val="auto"/>
                <w:sz w:val="28"/>
              </w:rPr>
              <w:t>邮编：</w:t>
            </w:r>
            <w:r>
              <w:rPr>
                <w:rFonts w:hint="eastAsia" w:ascii="宋体" w:hAnsi="宋体" w:cs="宋体"/>
                <w:color w:val="auto"/>
                <w:sz w:val="28"/>
                <w:lang w:eastAsia="zh-CN"/>
              </w:rPr>
              <w:t>841000</w:t>
            </w:r>
          </w:p>
        </w:tc>
        <w:tc>
          <w:tcPr>
            <w:tcW w:w="4530" w:type="dxa"/>
            <w:noWrap w:val="0"/>
            <w:vAlign w:val="top"/>
          </w:tcPr>
          <w:p>
            <w:pPr>
              <w:spacing w:line="240" w:lineRule="auto"/>
              <w:ind w:firstLine="0" w:firstLineChars="0"/>
              <w:textAlignment w:val="center"/>
              <w:rPr>
                <w:rFonts w:hint="eastAsia" w:ascii="宋体" w:hAnsi="宋体" w:eastAsia="宋体" w:cs="宋体"/>
                <w:color w:val="auto"/>
                <w:sz w:val="28"/>
              </w:rPr>
            </w:pPr>
            <w:r>
              <w:rPr>
                <w:rFonts w:hint="eastAsia" w:ascii="宋体" w:hAnsi="宋体" w:eastAsia="宋体" w:cs="宋体"/>
                <w:color w:val="auto"/>
                <w:sz w:val="28"/>
              </w:rPr>
              <w:t>邮编：841000</w:t>
            </w:r>
          </w:p>
        </w:tc>
      </w:tr>
      <w:tr>
        <w:tblPrEx>
          <w:tblCellMar>
            <w:top w:w="0" w:type="dxa"/>
            <w:left w:w="108" w:type="dxa"/>
            <w:bottom w:w="0" w:type="dxa"/>
            <w:right w:w="108" w:type="dxa"/>
          </w:tblCellMar>
        </w:tblPrEx>
        <w:trPr>
          <w:trHeight w:val="1262" w:hRule="atLeast"/>
          <w:jc w:val="center"/>
        </w:trPr>
        <w:tc>
          <w:tcPr>
            <w:tcW w:w="4530" w:type="dxa"/>
            <w:noWrap w:val="0"/>
            <w:vAlign w:val="top"/>
          </w:tcPr>
          <w:p>
            <w:pPr>
              <w:spacing w:line="240" w:lineRule="auto"/>
              <w:ind w:firstLine="0" w:firstLineChars="0"/>
              <w:textAlignment w:val="center"/>
              <w:rPr>
                <w:rFonts w:hint="eastAsia" w:ascii="宋体" w:hAnsi="宋体" w:eastAsia="宋体" w:cs="宋体"/>
                <w:color w:val="auto"/>
                <w:sz w:val="28"/>
              </w:rPr>
            </w:pPr>
            <w:r>
              <w:rPr>
                <w:rFonts w:hint="eastAsia" w:ascii="宋体" w:hAnsi="宋体" w:eastAsia="宋体" w:cs="宋体"/>
                <w:color w:val="auto"/>
                <w:sz w:val="28"/>
              </w:rPr>
              <w:t>地址：</w:t>
            </w:r>
            <w:r>
              <w:rPr>
                <w:rFonts w:hint="eastAsia" w:ascii="宋体" w:hAnsi="宋体" w:cs="宋体"/>
                <w:color w:val="auto"/>
                <w:sz w:val="28"/>
                <w:lang w:val="en-US" w:eastAsia="zh-CN"/>
              </w:rPr>
              <w:t>新疆库尔勒经济技术开发区康盛路西侧</w:t>
            </w:r>
          </w:p>
        </w:tc>
        <w:tc>
          <w:tcPr>
            <w:tcW w:w="4530" w:type="dxa"/>
            <w:noWrap w:val="0"/>
            <w:vAlign w:val="top"/>
          </w:tcPr>
          <w:p>
            <w:pPr>
              <w:spacing w:line="240" w:lineRule="auto"/>
              <w:ind w:firstLine="0" w:firstLineChars="0"/>
              <w:textAlignment w:val="center"/>
              <w:rPr>
                <w:rFonts w:hint="eastAsia" w:ascii="宋体" w:hAnsi="宋体" w:eastAsia="宋体" w:cs="宋体"/>
                <w:color w:val="auto"/>
                <w:sz w:val="28"/>
              </w:rPr>
            </w:pPr>
            <w:r>
              <w:rPr>
                <w:rFonts w:hint="eastAsia" w:ascii="宋体" w:hAnsi="宋体" w:eastAsia="宋体" w:cs="宋体"/>
                <w:color w:val="auto"/>
                <w:sz w:val="28"/>
              </w:rPr>
              <w:t>地址：新疆库尔勒</w:t>
            </w:r>
            <w:r>
              <w:rPr>
                <w:rFonts w:hint="eastAsia" w:ascii="宋体" w:hAnsi="宋体" w:eastAsia="宋体" w:cs="宋体"/>
                <w:color w:val="auto"/>
                <w:sz w:val="28"/>
                <w:lang w:eastAsia="zh-CN"/>
              </w:rPr>
              <w:t>经济技术开发区安东路</w:t>
            </w:r>
            <w:r>
              <w:rPr>
                <w:rFonts w:hint="eastAsia" w:ascii="宋体" w:hAnsi="宋体" w:eastAsia="宋体" w:cs="宋体"/>
                <w:color w:val="auto"/>
                <w:sz w:val="28"/>
                <w:lang w:val="en-US" w:eastAsia="zh-CN"/>
              </w:rPr>
              <w:t>016号</w:t>
            </w:r>
          </w:p>
        </w:tc>
      </w:tr>
    </w:tbl>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eastAsia="zh-CN"/>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eastAsia="zh-CN"/>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eastAsia="zh-CN"/>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lang w:val="en-US" w:eastAsia="zh-CN" w:bidi="ar-SA"/>
        </w:rPr>
      </w:pPr>
      <w:r>
        <w:rPr>
          <w:rFonts w:hint="eastAsia" w:ascii="宋体" w:hAnsi="宋体" w:eastAsia="宋体" w:cs="宋体"/>
          <w:b/>
          <w:bCs/>
          <w:color w:val="auto"/>
          <w:sz w:val="24"/>
          <w:szCs w:val="24"/>
          <w:lang w:eastAsia="zh-CN"/>
        </w:rPr>
        <w:t>目</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录</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"1-3" \h \u </w:instrText>
      </w:r>
      <w:r>
        <w:rPr>
          <w:rFonts w:hint="eastAsia" w:ascii="宋体" w:hAnsi="宋体" w:eastAsia="宋体" w:cs="宋体"/>
          <w:color w:val="auto"/>
          <w:sz w:val="24"/>
          <w:szCs w:val="24"/>
        </w:rPr>
        <w:fldChar w:fldCharType="separate"/>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_Toc6592 </w:instrText>
      </w:r>
      <w:r>
        <w:rPr>
          <w:rFonts w:hint="eastAsia" w:ascii="宋体" w:hAnsi="宋体" w:eastAsia="宋体" w:cs="宋体"/>
          <w:szCs w:val="24"/>
        </w:rPr>
        <w:fldChar w:fldCharType="separate"/>
      </w:r>
      <w:r>
        <w:rPr>
          <w:rFonts w:hint="eastAsia" w:ascii="宋体" w:hAnsi="宋体" w:eastAsia="宋体" w:cs="宋体"/>
          <w:lang w:eastAsia="zh-CN"/>
        </w:rPr>
        <w:t>表一</w:t>
      </w:r>
      <w:r>
        <w:rPr>
          <w:rFonts w:hint="eastAsia" w:ascii="宋体" w:hAnsi="宋体" w:eastAsia="宋体" w:cs="宋体"/>
          <w:lang w:val="en-US" w:eastAsia="zh-CN"/>
        </w:rPr>
        <w:t xml:space="preserve"> 工程概况、依据、标准</w:t>
      </w:r>
      <w:r>
        <w:tab/>
      </w:r>
      <w:r>
        <w:fldChar w:fldCharType="begin"/>
      </w:r>
      <w:r>
        <w:instrText xml:space="preserve"> PAGEREF _Toc6592 \h </w:instrText>
      </w:r>
      <w:r>
        <w:fldChar w:fldCharType="separate"/>
      </w:r>
      <w:r>
        <w:t>1</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_Toc20874 </w:instrText>
      </w:r>
      <w:r>
        <w:rPr>
          <w:rFonts w:hint="eastAsia" w:ascii="宋体" w:hAnsi="宋体" w:eastAsia="宋体" w:cs="宋体"/>
          <w:szCs w:val="24"/>
        </w:rPr>
        <w:fldChar w:fldCharType="separate"/>
      </w:r>
      <w:r>
        <w:rPr>
          <w:rFonts w:hint="eastAsia" w:ascii="宋体" w:hAnsi="宋体" w:eastAsia="宋体" w:cs="宋体"/>
          <w:lang w:val="en-US" w:eastAsia="zh-CN"/>
        </w:rPr>
        <w:t>表二 建设项目工程</w:t>
      </w:r>
      <w:r>
        <w:tab/>
      </w:r>
      <w:r>
        <w:fldChar w:fldCharType="begin"/>
      </w:r>
      <w:r>
        <w:instrText xml:space="preserve"> PAGEREF _Toc20874 \h </w:instrText>
      </w:r>
      <w:r>
        <w:fldChar w:fldCharType="separate"/>
      </w:r>
      <w:r>
        <w:t>4</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_Toc30767 </w:instrText>
      </w:r>
      <w:r>
        <w:rPr>
          <w:rFonts w:hint="eastAsia" w:ascii="宋体" w:hAnsi="宋体" w:eastAsia="宋体" w:cs="宋体"/>
          <w:szCs w:val="24"/>
        </w:rPr>
        <w:fldChar w:fldCharType="separate"/>
      </w:r>
      <w:r>
        <w:rPr>
          <w:rFonts w:hint="eastAsia" w:ascii="宋体" w:hAnsi="宋体" w:eastAsia="宋体" w:cs="宋体"/>
          <w:lang w:val="en-US" w:eastAsia="zh-CN"/>
        </w:rPr>
        <w:t>2.1</w:t>
      </w:r>
      <w:r>
        <w:rPr>
          <w:rFonts w:hint="eastAsia" w:ascii="宋体" w:hAnsi="宋体" w:eastAsia="宋体" w:cs="宋体"/>
        </w:rPr>
        <w:t>建设项目</w:t>
      </w:r>
      <w:r>
        <w:rPr>
          <w:rFonts w:hint="eastAsia" w:ascii="宋体" w:hAnsi="宋体" w:eastAsia="宋体" w:cs="宋体"/>
          <w:lang w:eastAsia="zh-CN"/>
        </w:rPr>
        <w:t>地理位置</w:t>
      </w:r>
      <w:r>
        <w:tab/>
      </w:r>
      <w:r>
        <w:fldChar w:fldCharType="begin"/>
      </w:r>
      <w:r>
        <w:instrText xml:space="preserve"> PAGEREF _Toc30767 \h </w:instrText>
      </w:r>
      <w:r>
        <w:fldChar w:fldCharType="separate"/>
      </w:r>
      <w:r>
        <w:t>4</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_Toc23522 </w:instrText>
      </w:r>
      <w:r>
        <w:rPr>
          <w:rFonts w:hint="eastAsia" w:ascii="宋体" w:hAnsi="宋体" w:eastAsia="宋体" w:cs="宋体"/>
          <w:szCs w:val="24"/>
        </w:rPr>
        <w:fldChar w:fldCharType="separate"/>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主要建设内容</w:t>
      </w:r>
      <w:r>
        <w:rPr>
          <w:rFonts w:hint="eastAsia" w:ascii="宋体" w:hAnsi="宋体" w:eastAsia="宋体" w:cs="宋体"/>
          <w:lang w:eastAsia="zh-CN"/>
        </w:rPr>
        <w:t>及生产规模</w:t>
      </w:r>
      <w:r>
        <w:tab/>
      </w:r>
      <w:r>
        <w:fldChar w:fldCharType="begin"/>
      </w:r>
      <w:r>
        <w:instrText xml:space="preserve"> PAGEREF _Toc23522 \h </w:instrText>
      </w:r>
      <w:r>
        <w:fldChar w:fldCharType="separate"/>
      </w:r>
      <w:r>
        <w:t>4</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_Toc9428 </w:instrText>
      </w:r>
      <w:r>
        <w:rPr>
          <w:rFonts w:hint="eastAsia" w:ascii="宋体" w:hAnsi="宋体" w:eastAsia="宋体" w:cs="宋体"/>
          <w:szCs w:val="24"/>
        </w:rPr>
        <w:fldChar w:fldCharType="separate"/>
      </w:r>
      <w:r>
        <w:rPr>
          <w:rFonts w:hint="eastAsia" w:ascii="宋体" w:hAnsi="宋体" w:eastAsia="宋体" w:cs="宋体"/>
          <w:lang w:val="en-US" w:eastAsia="zh-CN"/>
        </w:rPr>
        <w:t>2.3 主要设备清单</w:t>
      </w:r>
      <w:r>
        <w:tab/>
      </w:r>
      <w:r>
        <w:fldChar w:fldCharType="begin"/>
      </w:r>
      <w:r>
        <w:instrText xml:space="preserve"> PAGEREF _Toc9428 \h </w:instrText>
      </w:r>
      <w:r>
        <w:fldChar w:fldCharType="separate"/>
      </w:r>
      <w:r>
        <w:t>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_Toc15631 </w:instrText>
      </w:r>
      <w:r>
        <w:rPr>
          <w:rFonts w:hint="eastAsia" w:ascii="宋体" w:hAnsi="宋体" w:eastAsia="宋体" w:cs="宋体"/>
          <w:szCs w:val="24"/>
        </w:rPr>
        <w:fldChar w:fldCharType="separate"/>
      </w:r>
      <w:r>
        <w:rPr>
          <w:rFonts w:hint="eastAsia" w:ascii="宋体" w:hAnsi="宋体" w:eastAsia="宋体" w:cs="宋体"/>
          <w:lang w:val="en-US" w:eastAsia="zh-CN"/>
        </w:rPr>
        <w:t>2.4原辅材料及能耗</w:t>
      </w:r>
      <w:r>
        <w:tab/>
      </w:r>
      <w:r>
        <w:fldChar w:fldCharType="begin"/>
      </w:r>
      <w:r>
        <w:instrText xml:space="preserve"> PAGEREF _Toc15631 \h </w:instrText>
      </w:r>
      <w:r>
        <w:fldChar w:fldCharType="separate"/>
      </w:r>
      <w:r>
        <w:t>8</w:t>
      </w:r>
      <w:r>
        <w:fldChar w:fldCharType="end"/>
      </w:r>
      <w:r>
        <w:rPr>
          <w:rFonts w:hint="eastAsia" w:ascii="宋体" w:hAnsi="宋体" w:eastAsia="宋体" w:cs="宋体"/>
          <w:color w:val="auto"/>
          <w:szCs w:val="24"/>
        </w:rPr>
        <w:fldChar w:fldCharType="end"/>
      </w:r>
    </w:p>
    <w:p>
      <w:pPr>
        <w:pStyle w:val="12"/>
        <w:tabs>
          <w:tab w:val="right" w:leader="dot" w:pos="8300"/>
        </w:tabs>
        <w:ind w:left="0" w:leftChars="0" w:firstLine="480" w:firstLineChars="200"/>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_Toc28058 </w:instrText>
      </w:r>
      <w:r>
        <w:rPr>
          <w:rFonts w:hint="eastAsia" w:ascii="宋体" w:hAnsi="宋体" w:eastAsia="宋体" w:cs="宋体"/>
          <w:szCs w:val="24"/>
        </w:rPr>
        <w:fldChar w:fldCharType="separate"/>
      </w:r>
      <w:r>
        <w:rPr>
          <w:rFonts w:hint="eastAsia" w:ascii="Times New Roman" w:hAnsi="Times New Roman" w:cs="Times New Roman"/>
          <w:szCs w:val="24"/>
          <w:lang w:val="en-US" w:eastAsia="zh-CN"/>
        </w:rPr>
        <w:t>2.5</w:t>
      </w:r>
      <w:r>
        <w:rPr>
          <w:rFonts w:hint="default" w:ascii="Times New Roman" w:hAnsi="Times New Roman" w:cs="Times New Roman"/>
          <w:szCs w:val="24"/>
          <w:lang w:val="en-US" w:eastAsia="zh-CN"/>
        </w:rPr>
        <w:t>、</w:t>
      </w:r>
      <w:r>
        <w:t>产品方案及规模</w:t>
      </w:r>
      <w:r>
        <w:tab/>
      </w:r>
      <w:r>
        <w:fldChar w:fldCharType="begin"/>
      </w:r>
      <w:r>
        <w:instrText xml:space="preserve"> PAGEREF _Toc28058 \h </w:instrText>
      </w:r>
      <w:r>
        <w:fldChar w:fldCharType="separate"/>
      </w:r>
      <w:r>
        <w:t>9</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_Toc14584 </w:instrText>
      </w:r>
      <w:r>
        <w:rPr>
          <w:rFonts w:hint="eastAsia" w:ascii="宋体" w:hAnsi="宋体" w:eastAsia="宋体" w:cs="宋体"/>
          <w:szCs w:val="24"/>
        </w:rPr>
        <w:fldChar w:fldCharType="separate"/>
      </w:r>
      <w:r>
        <w:rPr>
          <w:rFonts w:hint="eastAsia"/>
          <w:lang w:val="en-US" w:eastAsia="zh-CN"/>
        </w:rPr>
        <w:t>2.5</w:t>
      </w:r>
      <w:r>
        <w:rPr>
          <w:rFonts w:hint="eastAsia"/>
        </w:rPr>
        <w:t>环保设施投资情况</w:t>
      </w:r>
      <w:r>
        <w:tab/>
      </w:r>
      <w:r>
        <w:fldChar w:fldCharType="begin"/>
      </w:r>
      <w:r>
        <w:instrText xml:space="preserve"> PAGEREF _Toc14584 \h </w:instrText>
      </w:r>
      <w:r>
        <w:fldChar w:fldCharType="separate"/>
      </w:r>
      <w:r>
        <w:t>9</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_Toc9675 </w:instrText>
      </w:r>
      <w:r>
        <w:rPr>
          <w:rFonts w:hint="eastAsia" w:ascii="宋体" w:hAnsi="宋体" w:eastAsia="宋体" w:cs="宋体"/>
          <w:szCs w:val="24"/>
        </w:rPr>
        <w:fldChar w:fldCharType="separate"/>
      </w:r>
      <w:r>
        <w:rPr>
          <w:rFonts w:hint="eastAsia"/>
          <w:lang w:val="en-US" w:eastAsia="zh-CN"/>
        </w:rPr>
        <w:t>2.6劳动定员及工作制度</w:t>
      </w:r>
      <w:r>
        <w:tab/>
      </w:r>
      <w:r>
        <w:fldChar w:fldCharType="begin"/>
      </w:r>
      <w:r>
        <w:instrText xml:space="preserve"> PAGEREF _Toc9675 \h </w:instrText>
      </w:r>
      <w:r>
        <w:fldChar w:fldCharType="separate"/>
      </w:r>
      <w:r>
        <w:t>10</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_Toc186 </w:instrText>
      </w:r>
      <w:r>
        <w:rPr>
          <w:rFonts w:hint="eastAsia" w:ascii="宋体" w:hAnsi="宋体" w:eastAsia="宋体" w:cs="宋体"/>
          <w:szCs w:val="24"/>
        </w:rPr>
        <w:fldChar w:fldCharType="separate"/>
      </w:r>
      <w:r>
        <w:rPr>
          <w:rFonts w:hint="eastAsia"/>
          <w:lang w:val="en-US" w:eastAsia="zh-CN"/>
        </w:rPr>
        <w:t>2.7</w:t>
      </w:r>
      <w:r>
        <w:rPr>
          <w:rFonts w:hint="eastAsia"/>
        </w:rPr>
        <w:t>供电</w:t>
      </w:r>
      <w:r>
        <w:rPr>
          <w:rFonts w:hint="eastAsia"/>
          <w:lang w:val="en-US" w:eastAsia="zh-CN"/>
        </w:rPr>
        <w:t>及采暖</w:t>
      </w:r>
      <w:r>
        <w:tab/>
      </w:r>
      <w:r>
        <w:fldChar w:fldCharType="begin"/>
      </w:r>
      <w:r>
        <w:instrText xml:space="preserve"> PAGEREF _Toc186 \h </w:instrText>
      </w:r>
      <w:r>
        <w:fldChar w:fldCharType="separate"/>
      </w:r>
      <w:r>
        <w:t>10</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_Toc8489 </w:instrText>
      </w:r>
      <w:r>
        <w:rPr>
          <w:rFonts w:hint="eastAsia" w:ascii="宋体" w:hAnsi="宋体" w:eastAsia="宋体" w:cs="宋体"/>
          <w:szCs w:val="24"/>
        </w:rPr>
        <w:fldChar w:fldCharType="separate"/>
      </w:r>
      <w:r>
        <w:rPr>
          <w:rFonts w:hint="eastAsia"/>
          <w:lang w:val="en-US" w:eastAsia="zh-CN"/>
        </w:rPr>
        <w:t>2.8生产工艺及产污环节</w:t>
      </w:r>
      <w:r>
        <w:tab/>
      </w:r>
      <w:r>
        <w:fldChar w:fldCharType="begin"/>
      </w:r>
      <w:r>
        <w:instrText xml:space="preserve"> PAGEREF _Toc8489 \h </w:instrText>
      </w:r>
      <w:r>
        <w:fldChar w:fldCharType="separate"/>
      </w:r>
      <w:r>
        <w:t>10</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_Toc11222 </w:instrText>
      </w:r>
      <w:r>
        <w:rPr>
          <w:rFonts w:hint="eastAsia" w:ascii="宋体" w:hAnsi="宋体" w:eastAsia="宋体" w:cs="宋体"/>
          <w:szCs w:val="24"/>
        </w:rPr>
        <w:fldChar w:fldCharType="separate"/>
      </w:r>
      <w:r>
        <w:rPr>
          <w:rFonts w:hint="eastAsia" w:ascii="宋体" w:hAnsi="宋体" w:eastAsia="宋体" w:cs="宋体"/>
          <w:lang w:val="en-US" w:eastAsia="zh-CN"/>
        </w:rPr>
        <w:t>2.9 项目变更情况</w:t>
      </w:r>
      <w:r>
        <w:tab/>
      </w:r>
      <w:r>
        <w:fldChar w:fldCharType="begin"/>
      </w:r>
      <w:r>
        <w:instrText xml:space="preserve"> PAGEREF _Toc11222 \h </w:instrText>
      </w:r>
      <w:r>
        <w:fldChar w:fldCharType="separate"/>
      </w:r>
      <w:r>
        <w:t>11</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_Toc2253 </w:instrText>
      </w:r>
      <w:r>
        <w:rPr>
          <w:rFonts w:hint="eastAsia" w:ascii="宋体" w:hAnsi="宋体" w:eastAsia="宋体" w:cs="宋体"/>
          <w:szCs w:val="24"/>
        </w:rPr>
        <w:fldChar w:fldCharType="separate"/>
      </w:r>
      <w:r>
        <w:rPr>
          <w:rFonts w:hint="eastAsia" w:ascii="宋体" w:hAnsi="宋体" w:eastAsia="宋体" w:cs="宋体"/>
          <w:lang w:val="en-US" w:eastAsia="zh-CN"/>
        </w:rPr>
        <w:t>表三  主要污染源及治理措施</w:t>
      </w:r>
      <w:r>
        <w:tab/>
      </w:r>
      <w:r>
        <w:fldChar w:fldCharType="begin"/>
      </w:r>
      <w:r>
        <w:instrText xml:space="preserve"> PAGEREF _Toc2253 \h </w:instrText>
      </w:r>
      <w:r>
        <w:fldChar w:fldCharType="separate"/>
      </w:r>
      <w:r>
        <w:t>12</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_Toc30754 </w:instrText>
      </w:r>
      <w:r>
        <w:rPr>
          <w:rFonts w:hint="eastAsia" w:ascii="宋体" w:hAnsi="宋体" w:eastAsia="宋体" w:cs="宋体"/>
          <w:szCs w:val="24"/>
        </w:rPr>
        <w:fldChar w:fldCharType="separate"/>
      </w:r>
      <w:r>
        <w:rPr>
          <w:rFonts w:hint="eastAsia"/>
          <w:lang w:val="en-US" w:eastAsia="zh-CN"/>
        </w:rPr>
        <w:t>3.1项目主要污染物调查情况</w:t>
      </w:r>
      <w:r>
        <w:tab/>
      </w:r>
      <w:r>
        <w:fldChar w:fldCharType="begin"/>
      </w:r>
      <w:r>
        <w:instrText xml:space="preserve"> PAGEREF _Toc30754 \h </w:instrText>
      </w:r>
      <w:r>
        <w:fldChar w:fldCharType="separate"/>
      </w:r>
      <w:r>
        <w:t>12</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_Toc24556 </w:instrText>
      </w:r>
      <w:r>
        <w:rPr>
          <w:rFonts w:hint="eastAsia" w:ascii="宋体" w:hAnsi="宋体" w:eastAsia="宋体" w:cs="宋体"/>
          <w:szCs w:val="24"/>
        </w:rPr>
        <w:fldChar w:fldCharType="separate"/>
      </w:r>
      <w:r>
        <w:rPr>
          <w:rFonts w:hint="eastAsia"/>
        </w:rPr>
        <w:t>3</w:t>
      </w:r>
      <w:r>
        <w:rPr>
          <w:rFonts w:hint="eastAsia"/>
          <w:lang w:eastAsia="zh-CN"/>
        </w:rPr>
        <w:t>.</w:t>
      </w:r>
      <w:r>
        <w:rPr>
          <w:rFonts w:hint="eastAsia"/>
          <w:lang w:val="en-US" w:eastAsia="zh-CN"/>
        </w:rPr>
        <w:t>1.1</w:t>
      </w:r>
      <w:r>
        <w:rPr>
          <w:rFonts w:hint="eastAsia"/>
        </w:rPr>
        <w:t xml:space="preserve"> 废水排放及治理措施</w:t>
      </w:r>
      <w:r>
        <w:tab/>
      </w:r>
      <w:r>
        <w:fldChar w:fldCharType="begin"/>
      </w:r>
      <w:r>
        <w:instrText xml:space="preserve"> PAGEREF _Toc24556 \h </w:instrText>
      </w:r>
      <w:r>
        <w:fldChar w:fldCharType="separate"/>
      </w:r>
      <w:r>
        <w:t>12</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_Toc28127 </w:instrText>
      </w:r>
      <w:r>
        <w:rPr>
          <w:rFonts w:hint="eastAsia" w:ascii="宋体" w:hAnsi="宋体" w:eastAsia="宋体" w:cs="宋体"/>
          <w:szCs w:val="24"/>
        </w:rPr>
        <w:fldChar w:fldCharType="separate"/>
      </w:r>
      <w:r>
        <w:rPr>
          <w:rFonts w:hint="eastAsia"/>
        </w:rPr>
        <w:t>3</w:t>
      </w:r>
      <w:r>
        <w:rPr>
          <w:rFonts w:hint="eastAsia"/>
          <w:lang w:eastAsia="zh-CN"/>
        </w:rPr>
        <w:t>.</w:t>
      </w:r>
      <w:r>
        <w:rPr>
          <w:rFonts w:hint="eastAsia"/>
          <w:lang w:val="en-US" w:eastAsia="zh-CN"/>
        </w:rPr>
        <w:t>1.2</w:t>
      </w:r>
      <w:r>
        <w:rPr>
          <w:rFonts w:hint="eastAsia"/>
        </w:rPr>
        <w:t xml:space="preserve"> </w:t>
      </w:r>
      <w:r>
        <w:rPr>
          <w:rFonts w:hint="eastAsia"/>
          <w:lang w:eastAsia="zh-CN"/>
        </w:rPr>
        <w:t>废气排放及治理措施</w:t>
      </w:r>
      <w:r>
        <w:tab/>
      </w:r>
      <w:r>
        <w:fldChar w:fldCharType="begin"/>
      </w:r>
      <w:r>
        <w:instrText xml:space="preserve"> PAGEREF _Toc28127 \h </w:instrText>
      </w:r>
      <w:r>
        <w:fldChar w:fldCharType="separate"/>
      </w:r>
      <w:r>
        <w:t>12</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_Toc32767 </w:instrText>
      </w:r>
      <w:r>
        <w:rPr>
          <w:rFonts w:hint="eastAsia" w:ascii="宋体" w:hAnsi="宋体" w:eastAsia="宋体" w:cs="宋体"/>
          <w:szCs w:val="24"/>
        </w:rPr>
        <w:fldChar w:fldCharType="separate"/>
      </w:r>
      <w:r>
        <w:rPr>
          <w:rFonts w:hint="eastAsia"/>
          <w:lang w:val="en-US" w:eastAsia="zh-CN"/>
        </w:rPr>
        <w:t xml:space="preserve">3.1.3 </w:t>
      </w:r>
      <w:r>
        <w:rPr>
          <w:rFonts w:hint="eastAsia"/>
        </w:rPr>
        <w:t>噪声排放及治理措施</w:t>
      </w:r>
      <w:r>
        <w:tab/>
      </w:r>
      <w:r>
        <w:fldChar w:fldCharType="begin"/>
      </w:r>
      <w:r>
        <w:instrText xml:space="preserve"> PAGEREF _Toc32767 \h </w:instrText>
      </w:r>
      <w:r>
        <w:fldChar w:fldCharType="separate"/>
      </w:r>
      <w:r>
        <w:t>13</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_Toc12772 </w:instrText>
      </w:r>
      <w:r>
        <w:rPr>
          <w:rFonts w:hint="eastAsia" w:ascii="宋体" w:hAnsi="宋体" w:eastAsia="宋体" w:cs="宋体"/>
          <w:szCs w:val="24"/>
        </w:rPr>
        <w:fldChar w:fldCharType="separate"/>
      </w:r>
      <w:r>
        <w:rPr>
          <w:rFonts w:hint="eastAsia"/>
        </w:rPr>
        <w:t>3</w:t>
      </w:r>
      <w:r>
        <w:rPr>
          <w:rFonts w:hint="eastAsia"/>
          <w:lang w:eastAsia="zh-CN"/>
        </w:rPr>
        <w:t>.</w:t>
      </w:r>
      <w:r>
        <w:rPr>
          <w:rFonts w:hint="eastAsia"/>
          <w:lang w:val="en-US" w:eastAsia="zh-CN"/>
        </w:rPr>
        <w:t>1.4</w:t>
      </w:r>
      <w:r>
        <w:rPr>
          <w:rFonts w:hint="eastAsia"/>
        </w:rPr>
        <w:t xml:space="preserve"> 固体废物排放及治理措施</w:t>
      </w:r>
      <w:r>
        <w:tab/>
      </w:r>
      <w:r>
        <w:fldChar w:fldCharType="begin"/>
      </w:r>
      <w:r>
        <w:instrText xml:space="preserve"> PAGEREF _Toc12772 \h </w:instrText>
      </w:r>
      <w:r>
        <w:fldChar w:fldCharType="separate"/>
      </w:r>
      <w:r>
        <w:t>13</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_Toc20184 </w:instrText>
      </w:r>
      <w:r>
        <w:rPr>
          <w:rFonts w:hint="eastAsia" w:ascii="宋体" w:hAnsi="宋体" w:eastAsia="宋体" w:cs="宋体"/>
          <w:szCs w:val="24"/>
        </w:rPr>
        <w:fldChar w:fldCharType="separate"/>
      </w:r>
      <w:r>
        <w:rPr>
          <w:rFonts w:hint="eastAsia" w:ascii="宋体" w:hAnsi="宋体" w:eastAsia="宋体" w:cs="宋体"/>
          <w:lang w:val="en-US" w:eastAsia="zh-CN"/>
        </w:rPr>
        <w:t>表四 验收监测标准</w:t>
      </w:r>
      <w:r>
        <w:tab/>
      </w:r>
      <w:r>
        <w:fldChar w:fldCharType="begin"/>
      </w:r>
      <w:r>
        <w:instrText xml:space="preserve"> PAGEREF _Toc20184 \h </w:instrText>
      </w:r>
      <w:r>
        <w:fldChar w:fldCharType="separate"/>
      </w:r>
      <w:r>
        <w:t>15</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_Toc24000 </w:instrText>
      </w:r>
      <w:r>
        <w:rPr>
          <w:rFonts w:hint="eastAsia" w:ascii="宋体" w:hAnsi="宋体" w:eastAsia="宋体" w:cs="宋体"/>
          <w:szCs w:val="24"/>
        </w:rPr>
        <w:fldChar w:fldCharType="separate"/>
      </w:r>
      <w:r>
        <w:rPr>
          <w:rFonts w:hint="eastAsia"/>
          <w:lang w:val="en-US" w:eastAsia="zh-CN"/>
        </w:rPr>
        <w:t>4</w:t>
      </w:r>
      <w:r>
        <w:rPr>
          <w:rFonts w:hint="eastAsia"/>
          <w:lang w:eastAsia="zh-CN"/>
        </w:rPr>
        <w:t>.</w:t>
      </w:r>
      <w:r>
        <w:rPr>
          <w:rFonts w:hint="eastAsia"/>
          <w:lang w:val="en-US" w:eastAsia="zh-CN"/>
        </w:rPr>
        <w:t xml:space="preserve">1 </w:t>
      </w:r>
      <w:r>
        <w:rPr>
          <w:rFonts w:hint="eastAsia"/>
        </w:rPr>
        <w:t>废</w:t>
      </w:r>
      <w:r>
        <w:rPr>
          <w:rFonts w:hint="eastAsia"/>
          <w:lang w:eastAsia="zh-CN"/>
        </w:rPr>
        <w:t>气</w:t>
      </w:r>
      <w:r>
        <w:rPr>
          <w:rFonts w:hint="eastAsia"/>
        </w:rPr>
        <w:t>验收</w:t>
      </w:r>
      <w:r>
        <w:rPr>
          <w:rFonts w:hint="eastAsia"/>
          <w:lang w:eastAsia="zh-CN"/>
        </w:rPr>
        <w:t>监测</w:t>
      </w:r>
      <w:r>
        <w:rPr>
          <w:rFonts w:hint="eastAsia"/>
        </w:rPr>
        <w:t>标准</w:t>
      </w:r>
      <w:r>
        <w:tab/>
      </w:r>
      <w:r>
        <w:fldChar w:fldCharType="begin"/>
      </w:r>
      <w:r>
        <w:instrText xml:space="preserve"> PAGEREF _Toc24000 \h </w:instrText>
      </w:r>
      <w:r>
        <w:fldChar w:fldCharType="separate"/>
      </w:r>
      <w:r>
        <w:t>15</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_Toc18089 </w:instrText>
      </w:r>
      <w:r>
        <w:rPr>
          <w:rFonts w:hint="eastAsia" w:ascii="宋体" w:hAnsi="宋体" w:eastAsia="宋体" w:cs="宋体"/>
          <w:szCs w:val="24"/>
        </w:rPr>
        <w:fldChar w:fldCharType="separate"/>
      </w:r>
      <w:r>
        <w:rPr>
          <w:rFonts w:hint="eastAsia"/>
          <w:lang w:val="en-US" w:eastAsia="zh-CN"/>
        </w:rPr>
        <w:t>4</w:t>
      </w:r>
      <w:r>
        <w:rPr>
          <w:rFonts w:hint="eastAsia"/>
          <w:lang w:eastAsia="zh-CN"/>
        </w:rPr>
        <w:t>.</w:t>
      </w:r>
      <w:r>
        <w:rPr>
          <w:rFonts w:hint="eastAsia"/>
          <w:lang w:val="en-US" w:eastAsia="zh-CN"/>
        </w:rPr>
        <w:t>2</w:t>
      </w:r>
      <w:r>
        <w:rPr>
          <w:rFonts w:hint="eastAsia"/>
        </w:rPr>
        <w:t xml:space="preserve"> 噪声验收标准</w:t>
      </w:r>
      <w:r>
        <w:tab/>
      </w:r>
      <w:r>
        <w:fldChar w:fldCharType="begin"/>
      </w:r>
      <w:r>
        <w:instrText xml:space="preserve"> PAGEREF _Toc18089 \h </w:instrText>
      </w:r>
      <w:r>
        <w:fldChar w:fldCharType="separate"/>
      </w:r>
      <w:r>
        <w:t>16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_Toc13883 </w:instrText>
      </w:r>
      <w:r>
        <w:rPr>
          <w:rFonts w:hint="eastAsia" w:ascii="宋体" w:hAnsi="宋体" w:eastAsia="宋体" w:cs="宋体"/>
          <w:szCs w:val="24"/>
        </w:rPr>
        <w:fldChar w:fldCharType="separate"/>
      </w:r>
      <w:r>
        <w:rPr>
          <w:rFonts w:hint="eastAsia"/>
          <w:lang w:val="en-US" w:eastAsia="zh-CN"/>
        </w:rPr>
        <w:t>4.3固体废物调查标准</w:t>
      </w:r>
      <w:r>
        <w:tab/>
      </w:r>
      <w:r>
        <w:fldChar w:fldCharType="begin"/>
      </w:r>
      <w:r>
        <w:instrText xml:space="preserve"> PAGEREF _Toc13883 \h </w:instrText>
      </w:r>
      <w:r>
        <w:fldChar w:fldCharType="separate"/>
      </w:r>
      <w:r>
        <w:t>16</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_Toc26384 </w:instrText>
      </w:r>
      <w:r>
        <w:rPr>
          <w:rFonts w:hint="eastAsia" w:ascii="宋体" w:hAnsi="宋体" w:eastAsia="宋体" w:cs="宋体"/>
          <w:szCs w:val="24"/>
        </w:rPr>
        <w:fldChar w:fldCharType="separate"/>
      </w:r>
      <w:r>
        <w:rPr>
          <w:rFonts w:hint="eastAsia" w:ascii="宋体" w:hAnsi="宋体" w:eastAsia="宋体" w:cs="宋体"/>
          <w:highlight w:val="none"/>
          <w:lang w:eastAsia="zh-CN"/>
        </w:rPr>
        <w:t>表五</w:t>
      </w:r>
      <w:r>
        <w:rPr>
          <w:rFonts w:hint="eastAsia" w:ascii="宋体" w:hAnsi="宋体" w:eastAsia="宋体" w:cs="宋体"/>
          <w:highlight w:val="none"/>
          <w:lang w:val="en-US" w:eastAsia="zh-CN"/>
        </w:rPr>
        <w:t xml:space="preserve">  </w:t>
      </w:r>
      <w:r>
        <w:rPr>
          <w:rFonts w:hint="eastAsia" w:ascii="宋体" w:hAnsi="宋体" w:eastAsia="宋体" w:cs="宋体"/>
          <w:highlight w:val="none"/>
        </w:rPr>
        <w:t>验收监测</w:t>
      </w:r>
      <w:r>
        <w:rPr>
          <w:rFonts w:hint="eastAsia" w:ascii="宋体" w:hAnsi="宋体" w:eastAsia="宋体" w:cs="宋体"/>
          <w:highlight w:val="none"/>
          <w:lang w:eastAsia="zh-CN"/>
        </w:rPr>
        <w:t>内容及监测结果分析</w:t>
      </w:r>
      <w:r>
        <w:tab/>
      </w:r>
      <w:r>
        <w:fldChar w:fldCharType="begin"/>
      </w:r>
      <w:r>
        <w:instrText xml:space="preserve"> PAGEREF _Toc26384 \h </w:instrText>
      </w:r>
      <w:r>
        <w:fldChar w:fldCharType="separate"/>
      </w:r>
      <w:r>
        <w:t>17</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_Toc6822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w:t>
      </w:r>
      <w:r>
        <w:rPr>
          <w:rFonts w:hint="eastAsia" w:ascii="宋体" w:hAnsi="宋体" w:eastAsia="宋体" w:cs="宋体"/>
          <w:highlight w:val="none"/>
          <w:lang w:eastAsia="zh-CN"/>
        </w:rPr>
        <w:t>.</w:t>
      </w:r>
      <w:r>
        <w:rPr>
          <w:rFonts w:hint="eastAsia" w:ascii="宋体" w:hAnsi="宋体" w:eastAsia="宋体" w:cs="宋体"/>
          <w:highlight w:val="none"/>
        </w:rPr>
        <w:t>1</w:t>
      </w:r>
      <w:r>
        <w:rPr>
          <w:rFonts w:hint="eastAsia" w:ascii="宋体" w:hAnsi="宋体" w:eastAsia="宋体" w:cs="宋体"/>
          <w:highlight w:val="none"/>
          <w:lang w:val="en-US" w:eastAsia="zh-CN"/>
        </w:rPr>
        <w:t xml:space="preserve"> </w:t>
      </w:r>
      <w:r>
        <w:rPr>
          <w:rFonts w:hint="eastAsia" w:ascii="宋体" w:hAnsi="宋体" w:eastAsia="宋体" w:cs="宋体"/>
          <w:highlight w:val="none"/>
        </w:rPr>
        <w:t>验收</w:t>
      </w:r>
      <w:r>
        <w:rPr>
          <w:rFonts w:hint="eastAsia" w:ascii="宋体" w:hAnsi="宋体" w:eastAsia="宋体" w:cs="宋体"/>
          <w:highlight w:val="none"/>
          <w:lang w:eastAsia="zh-CN"/>
        </w:rPr>
        <w:t>监测</w:t>
      </w:r>
      <w:r>
        <w:rPr>
          <w:rFonts w:hint="eastAsia" w:ascii="宋体" w:hAnsi="宋体" w:eastAsia="宋体" w:cs="宋体"/>
          <w:highlight w:val="none"/>
        </w:rPr>
        <w:t>期间工况</w:t>
      </w:r>
      <w:r>
        <w:rPr>
          <w:rFonts w:hint="eastAsia" w:ascii="宋体" w:hAnsi="宋体" w:eastAsia="宋体" w:cs="宋体"/>
          <w:highlight w:val="none"/>
          <w:lang w:eastAsia="zh-CN"/>
        </w:rPr>
        <w:t>调查与分析</w:t>
      </w:r>
      <w:r>
        <w:tab/>
      </w:r>
      <w:r>
        <w:fldChar w:fldCharType="begin"/>
      </w:r>
      <w:r>
        <w:instrText xml:space="preserve"> PAGEREF _Toc6822 \h </w:instrText>
      </w:r>
      <w:r>
        <w:fldChar w:fldCharType="separate"/>
      </w:r>
      <w:r>
        <w:t>17</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_Toc8089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w:t>
      </w:r>
      <w:r>
        <w:rPr>
          <w:rFonts w:hint="eastAsia" w:ascii="宋体" w:hAnsi="宋体" w:eastAsia="宋体" w:cs="宋体"/>
          <w:highlight w:val="none"/>
          <w:lang w:eastAsia="zh-CN"/>
        </w:rPr>
        <w:t>.</w:t>
      </w:r>
      <w:r>
        <w:rPr>
          <w:rFonts w:hint="eastAsia" w:ascii="宋体" w:hAnsi="宋体" w:eastAsia="宋体" w:cs="宋体"/>
          <w:highlight w:val="none"/>
        </w:rPr>
        <w:t>2</w:t>
      </w:r>
      <w:r>
        <w:rPr>
          <w:rFonts w:hint="eastAsia" w:ascii="宋体" w:hAnsi="宋体" w:eastAsia="宋体" w:cs="宋体"/>
          <w:highlight w:val="none"/>
          <w:lang w:eastAsia="zh-CN"/>
        </w:rPr>
        <w:t>验收</w:t>
      </w:r>
      <w:r>
        <w:rPr>
          <w:rFonts w:hint="eastAsia" w:ascii="宋体" w:hAnsi="宋体" w:eastAsia="宋体" w:cs="宋体"/>
          <w:highlight w:val="none"/>
        </w:rPr>
        <w:t>监测</w:t>
      </w:r>
      <w:r>
        <w:rPr>
          <w:rFonts w:hint="eastAsia" w:ascii="宋体" w:hAnsi="宋体" w:eastAsia="宋体" w:cs="宋体"/>
          <w:highlight w:val="none"/>
          <w:lang w:eastAsia="zh-CN"/>
        </w:rPr>
        <w:t>内容</w:t>
      </w:r>
      <w:r>
        <w:tab/>
      </w:r>
      <w:r>
        <w:fldChar w:fldCharType="begin"/>
      </w:r>
      <w:r>
        <w:instrText xml:space="preserve"> PAGEREF _Toc8089 \h </w:instrText>
      </w:r>
      <w:r>
        <w:fldChar w:fldCharType="separate"/>
      </w:r>
      <w:r>
        <w:t>17</w:t>
      </w:r>
      <w:r>
        <w:fldChar w:fldCharType="end"/>
      </w:r>
      <w:r>
        <w:rPr>
          <w:rFonts w:hint="eastAsia" w:ascii="宋体" w:hAnsi="宋体" w:eastAsia="宋体" w:cs="宋体"/>
          <w:color w:val="auto"/>
          <w:szCs w:val="24"/>
        </w:rPr>
        <w:fldChar w:fldCharType="end"/>
      </w:r>
    </w:p>
    <w:p>
      <w:pPr>
        <w:pStyle w:val="20"/>
        <w:tabs>
          <w:tab w:val="right" w:leader="dot" w:pos="8300"/>
        </w:tabs>
        <w:ind w:firstLine="480" w:firstLineChars="200"/>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_Toc7121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w:t>
      </w:r>
      <w:r>
        <w:rPr>
          <w:rFonts w:hint="eastAsia" w:ascii="宋体" w:hAnsi="宋体" w:eastAsia="宋体" w:cs="宋体"/>
          <w:highlight w:val="none"/>
          <w:lang w:eastAsia="zh-CN"/>
        </w:rPr>
        <w:t>.</w:t>
      </w:r>
      <w:r>
        <w:rPr>
          <w:rFonts w:hint="eastAsia" w:ascii="宋体" w:hAnsi="宋体" w:eastAsia="宋体" w:cs="宋体"/>
          <w:highlight w:val="none"/>
          <w:lang w:val="en-US" w:eastAsia="zh-CN"/>
        </w:rPr>
        <w:t>2.1</w:t>
      </w:r>
      <w:r>
        <w:rPr>
          <w:rFonts w:hint="eastAsia" w:ascii="宋体" w:hAnsi="宋体" w:eastAsia="宋体" w:cs="宋体"/>
          <w:highlight w:val="none"/>
          <w:lang w:eastAsia="zh-CN"/>
        </w:rPr>
        <w:t>废气监测内容</w:t>
      </w:r>
      <w:r>
        <w:tab/>
      </w:r>
      <w:r>
        <w:fldChar w:fldCharType="begin"/>
      </w:r>
      <w:r>
        <w:instrText xml:space="preserve"> PAGEREF _Toc7121 \h </w:instrText>
      </w:r>
      <w:r>
        <w:fldChar w:fldCharType="separate"/>
      </w:r>
      <w:r>
        <w:t>17</w:t>
      </w:r>
      <w:r>
        <w:fldChar w:fldCharType="end"/>
      </w:r>
      <w:r>
        <w:rPr>
          <w:rFonts w:hint="eastAsia" w:ascii="宋体" w:hAnsi="宋体" w:eastAsia="宋体" w:cs="宋体"/>
          <w:color w:val="auto"/>
          <w:szCs w:val="24"/>
        </w:rPr>
        <w:fldChar w:fldCharType="end"/>
      </w:r>
    </w:p>
    <w:p>
      <w:pPr>
        <w:pStyle w:val="20"/>
        <w:tabs>
          <w:tab w:val="right" w:leader="dot" w:pos="8300"/>
        </w:tabs>
        <w:ind w:firstLine="480" w:firstLineChars="200"/>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_Toc1891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5.2.2</w:t>
      </w:r>
      <w:r>
        <w:rPr>
          <w:rFonts w:hint="eastAsia" w:ascii="宋体" w:hAnsi="宋体" w:eastAsia="宋体" w:cs="宋体"/>
          <w:highlight w:val="none"/>
        </w:rPr>
        <w:t>噪声监测</w:t>
      </w:r>
      <w:r>
        <w:rPr>
          <w:rFonts w:hint="eastAsia" w:ascii="宋体" w:hAnsi="宋体" w:eastAsia="宋体" w:cs="宋体"/>
          <w:highlight w:val="none"/>
          <w:lang w:eastAsia="zh-CN"/>
        </w:rPr>
        <w:t>内容</w:t>
      </w:r>
      <w:r>
        <w:tab/>
      </w:r>
      <w:r>
        <w:fldChar w:fldCharType="begin"/>
      </w:r>
      <w:r>
        <w:instrText xml:space="preserve"> PAGEREF _Toc1891 \h </w:instrText>
      </w:r>
      <w:r>
        <w:fldChar w:fldCharType="separate"/>
      </w:r>
      <w:r>
        <w:t>17</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_Toc24493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5.3 验收监测分析方法</w:t>
      </w:r>
      <w:r>
        <w:tab/>
      </w:r>
      <w:r>
        <w:fldChar w:fldCharType="begin"/>
      </w:r>
      <w:r>
        <w:instrText xml:space="preserve"> PAGEREF _Toc24493 \h </w:instrText>
      </w:r>
      <w:r>
        <w:fldChar w:fldCharType="separate"/>
      </w:r>
      <w:r>
        <w:t>18</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_Toc4802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 xml:space="preserve">5.4 </w:t>
      </w:r>
      <w:r>
        <w:rPr>
          <w:rFonts w:hint="eastAsia" w:ascii="宋体" w:hAnsi="宋体" w:eastAsia="宋体" w:cs="宋体"/>
          <w:highlight w:val="none"/>
        </w:rPr>
        <w:t>质量控制和质量保证</w:t>
      </w:r>
      <w:r>
        <w:tab/>
      </w:r>
      <w:r>
        <w:fldChar w:fldCharType="begin"/>
      </w:r>
      <w:r>
        <w:instrText xml:space="preserve"> PAGEREF _Toc4802 \h </w:instrText>
      </w:r>
      <w:r>
        <w:fldChar w:fldCharType="separate"/>
      </w:r>
      <w:r>
        <w:t>19</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_Toc24277 </w:instrText>
      </w:r>
      <w:r>
        <w:rPr>
          <w:rFonts w:hint="eastAsia" w:ascii="宋体" w:hAnsi="宋体" w:eastAsia="宋体" w:cs="宋体"/>
          <w:szCs w:val="24"/>
        </w:rPr>
        <w:fldChar w:fldCharType="separate"/>
      </w:r>
      <w:r>
        <w:rPr>
          <w:rFonts w:hint="eastAsia" w:ascii="宋体" w:hAnsi="宋体" w:eastAsia="宋体" w:cs="宋体"/>
          <w:highlight w:val="none"/>
          <w:lang w:val="en-US" w:eastAsia="zh-CN"/>
        </w:rPr>
        <w:t>5.5验收监测结果及评价</w:t>
      </w:r>
      <w:r>
        <w:tab/>
      </w:r>
      <w:r>
        <w:fldChar w:fldCharType="begin"/>
      </w:r>
      <w:r>
        <w:instrText xml:space="preserve"> PAGEREF _Toc24277 \h </w:instrText>
      </w:r>
      <w:r>
        <w:fldChar w:fldCharType="separate"/>
      </w:r>
      <w:r>
        <w:t>19</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_Toc16149 </w:instrText>
      </w:r>
      <w:r>
        <w:rPr>
          <w:rFonts w:hint="eastAsia" w:ascii="宋体" w:hAnsi="宋体" w:eastAsia="宋体" w:cs="宋体"/>
          <w:szCs w:val="24"/>
        </w:rPr>
        <w:fldChar w:fldCharType="separate"/>
      </w:r>
      <w:r>
        <w:rPr>
          <w:rFonts w:hint="eastAsia"/>
          <w:lang w:val="en-US" w:eastAsia="zh-CN"/>
        </w:rPr>
        <w:t>5</w:t>
      </w:r>
      <w:r>
        <w:rPr>
          <w:rFonts w:hint="eastAsia"/>
          <w:lang w:eastAsia="zh-CN"/>
        </w:rPr>
        <w:t>.</w:t>
      </w:r>
      <w:r>
        <w:rPr>
          <w:rFonts w:hint="eastAsia"/>
          <w:lang w:val="en-US" w:eastAsia="zh-CN"/>
        </w:rPr>
        <w:t>5.1</w:t>
      </w:r>
      <w:r>
        <w:rPr>
          <w:rFonts w:hint="eastAsia"/>
          <w:lang w:eastAsia="zh-CN"/>
        </w:rPr>
        <w:t>废气监测结果及评价</w:t>
      </w:r>
      <w:r>
        <w:tab/>
      </w:r>
      <w:r>
        <w:fldChar w:fldCharType="begin"/>
      </w:r>
      <w:r>
        <w:instrText xml:space="preserve"> PAGEREF _Toc16149 \h </w:instrText>
      </w:r>
      <w:r>
        <w:fldChar w:fldCharType="separate"/>
      </w:r>
      <w:r>
        <w:t>19</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_Toc13211 </w:instrText>
      </w:r>
      <w:r>
        <w:rPr>
          <w:rFonts w:hint="eastAsia" w:ascii="宋体" w:hAnsi="宋体" w:eastAsia="宋体" w:cs="宋体"/>
          <w:szCs w:val="24"/>
        </w:rPr>
        <w:fldChar w:fldCharType="separate"/>
      </w:r>
      <w:r>
        <w:rPr>
          <w:rFonts w:hint="eastAsia"/>
          <w:lang w:val="en-US" w:eastAsia="zh-CN"/>
        </w:rPr>
        <w:t>5.5.2噪声监测结果及评价</w:t>
      </w:r>
      <w:r>
        <w:tab/>
      </w:r>
      <w:r>
        <w:fldChar w:fldCharType="begin"/>
      </w:r>
      <w:r>
        <w:instrText xml:space="preserve"> PAGEREF _Toc13211 \h </w:instrText>
      </w:r>
      <w:r>
        <w:fldChar w:fldCharType="separate"/>
      </w:r>
      <w:r>
        <w:t>25</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_Toc11817 </w:instrText>
      </w:r>
      <w:r>
        <w:rPr>
          <w:rFonts w:hint="eastAsia" w:ascii="宋体" w:hAnsi="宋体" w:eastAsia="宋体" w:cs="宋体"/>
          <w:szCs w:val="24"/>
        </w:rPr>
        <w:fldChar w:fldCharType="separate"/>
      </w:r>
      <w:r>
        <w:rPr>
          <w:rFonts w:hint="eastAsia" w:ascii="宋体" w:hAnsi="宋体" w:eastAsia="宋体" w:cs="宋体"/>
          <w:highlight w:val="none"/>
          <w:lang w:eastAsia="zh-CN"/>
        </w:rPr>
        <w:t>表六</w:t>
      </w:r>
      <w:r>
        <w:rPr>
          <w:rFonts w:hint="eastAsia" w:ascii="宋体" w:hAnsi="宋体" w:eastAsia="宋体" w:cs="宋体"/>
          <w:highlight w:val="none"/>
          <w:lang w:val="en-US" w:eastAsia="zh-CN"/>
        </w:rPr>
        <w:t xml:space="preserve">  建设项目环境影响报告表主要结论及审批部门审批决定</w:t>
      </w:r>
      <w:r>
        <w:tab/>
      </w:r>
      <w:r>
        <w:fldChar w:fldCharType="begin"/>
      </w:r>
      <w:r>
        <w:instrText xml:space="preserve"> PAGEREF _Toc11817 \h </w:instrText>
      </w:r>
      <w:r>
        <w:fldChar w:fldCharType="separate"/>
      </w:r>
      <w:r>
        <w:t>26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_Toc11854 </w:instrText>
      </w:r>
      <w:r>
        <w:rPr>
          <w:rFonts w:hint="eastAsia" w:ascii="宋体" w:hAnsi="宋体" w:eastAsia="宋体" w:cs="宋体"/>
          <w:szCs w:val="24"/>
        </w:rPr>
        <w:fldChar w:fldCharType="separate"/>
      </w:r>
      <w:r>
        <w:rPr>
          <w:rFonts w:hint="eastAsia"/>
          <w:lang w:val="en-US" w:eastAsia="zh-CN"/>
        </w:rPr>
        <w:t>6.1 建设项目环境影响报告表主要结论</w:t>
      </w:r>
      <w:r>
        <w:tab/>
      </w:r>
      <w:r>
        <w:fldChar w:fldCharType="begin"/>
      </w:r>
      <w:r>
        <w:instrText xml:space="preserve"> PAGEREF _Toc11854 \h </w:instrText>
      </w:r>
      <w:r>
        <w:fldChar w:fldCharType="separate"/>
      </w:r>
      <w:r>
        <w:t>26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_Toc13794 </w:instrText>
      </w:r>
      <w:r>
        <w:rPr>
          <w:rFonts w:hint="eastAsia" w:ascii="宋体" w:hAnsi="宋体" w:eastAsia="宋体" w:cs="宋体"/>
          <w:szCs w:val="24"/>
        </w:rPr>
        <w:fldChar w:fldCharType="separate"/>
      </w:r>
      <w:r>
        <w:rPr>
          <w:rFonts w:hint="eastAsia"/>
          <w:lang w:val="en-US" w:eastAsia="zh-CN"/>
        </w:rPr>
        <w:t>6.2环境影响报告表建议</w:t>
      </w:r>
      <w:r>
        <w:tab/>
      </w:r>
      <w:r>
        <w:fldChar w:fldCharType="begin"/>
      </w:r>
      <w:r>
        <w:instrText xml:space="preserve"> PAGEREF _Toc13794 \h </w:instrText>
      </w:r>
      <w:r>
        <w:fldChar w:fldCharType="separate"/>
      </w:r>
      <w:r>
        <w:t>26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_Toc16590 </w:instrText>
      </w:r>
      <w:r>
        <w:rPr>
          <w:rFonts w:hint="eastAsia" w:ascii="宋体" w:hAnsi="宋体" w:eastAsia="宋体" w:cs="宋体"/>
          <w:szCs w:val="24"/>
        </w:rPr>
        <w:fldChar w:fldCharType="separate"/>
      </w:r>
      <w:r>
        <w:rPr>
          <w:rFonts w:hint="eastAsia"/>
          <w:lang w:val="en-US" w:eastAsia="zh-CN"/>
        </w:rPr>
        <w:t>6.3 环境影响报告表批复</w:t>
      </w:r>
      <w:r>
        <w:tab/>
      </w:r>
      <w:r>
        <w:fldChar w:fldCharType="begin"/>
      </w:r>
      <w:r>
        <w:instrText xml:space="preserve"> PAGEREF _Toc16590 \h </w:instrText>
      </w:r>
      <w:r>
        <w:fldChar w:fldCharType="separate"/>
      </w:r>
      <w:r>
        <w:t>26</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_Toc19970 </w:instrText>
      </w:r>
      <w:r>
        <w:rPr>
          <w:rFonts w:hint="eastAsia" w:ascii="宋体" w:hAnsi="宋体" w:eastAsia="宋体" w:cs="宋体"/>
          <w:szCs w:val="24"/>
        </w:rPr>
        <w:fldChar w:fldCharType="separate"/>
      </w:r>
      <w:r>
        <w:rPr>
          <w:rFonts w:hint="eastAsia" w:ascii="宋体" w:hAnsi="宋体" w:eastAsia="宋体" w:cs="宋体"/>
          <w:highlight w:val="none"/>
          <w:lang w:eastAsia="zh-CN"/>
        </w:rPr>
        <w:t>表七</w:t>
      </w:r>
      <w:r>
        <w:rPr>
          <w:rFonts w:hint="eastAsia" w:ascii="宋体" w:hAnsi="宋体" w:eastAsia="宋体" w:cs="宋体"/>
          <w:highlight w:val="none"/>
          <w:lang w:val="en-US" w:eastAsia="zh-CN"/>
        </w:rPr>
        <w:t xml:space="preserve"> 验收</w:t>
      </w:r>
      <w:r>
        <w:rPr>
          <w:rFonts w:hint="eastAsia" w:ascii="宋体" w:hAnsi="宋体" w:eastAsia="宋体" w:cs="宋体"/>
          <w:highlight w:val="none"/>
          <w:lang w:eastAsia="zh-CN"/>
        </w:rPr>
        <w:t>环保检查结果</w:t>
      </w:r>
      <w:r>
        <w:tab/>
      </w:r>
      <w:r>
        <w:fldChar w:fldCharType="begin"/>
      </w:r>
      <w:r>
        <w:instrText xml:space="preserve"> PAGEREF _Toc19970 \h </w:instrText>
      </w:r>
      <w:r>
        <w:fldChar w:fldCharType="separate"/>
      </w:r>
      <w:r>
        <w:t>30</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_Toc9135 </w:instrText>
      </w:r>
      <w:r>
        <w:rPr>
          <w:rFonts w:hint="eastAsia" w:ascii="宋体" w:hAnsi="宋体" w:eastAsia="宋体" w:cs="宋体"/>
          <w:szCs w:val="24"/>
        </w:rPr>
        <w:fldChar w:fldCharType="separate"/>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rPr>
        <w:t>1环评</w:t>
      </w:r>
      <w:r>
        <w:rPr>
          <w:rFonts w:hint="eastAsia" w:ascii="宋体" w:hAnsi="宋体" w:eastAsia="宋体" w:cs="宋体"/>
          <w:lang w:eastAsia="zh-CN"/>
        </w:rPr>
        <w:t>要求及批复要求</w:t>
      </w:r>
      <w:r>
        <w:rPr>
          <w:rFonts w:hint="eastAsia" w:ascii="宋体" w:hAnsi="宋体" w:eastAsia="宋体" w:cs="宋体"/>
        </w:rPr>
        <w:t>落实情况</w:t>
      </w:r>
      <w:r>
        <w:tab/>
      </w:r>
      <w:r>
        <w:fldChar w:fldCharType="begin"/>
      </w:r>
      <w:r>
        <w:instrText xml:space="preserve"> PAGEREF _Toc9135 \h </w:instrText>
      </w:r>
      <w:r>
        <w:fldChar w:fldCharType="separate"/>
      </w:r>
      <w:r>
        <w:t>30</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_Toc21824 </w:instrText>
      </w:r>
      <w:r>
        <w:rPr>
          <w:rFonts w:hint="eastAsia" w:ascii="宋体" w:hAnsi="宋体" w:eastAsia="宋体" w:cs="宋体"/>
          <w:szCs w:val="24"/>
        </w:rPr>
        <w:fldChar w:fldCharType="separate"/>
      </w:r>
      <w:r>
        <w:rPr>
          <w:rFonts w:hint="eastAsia" w:ascii="宋体" w:hAnsi="宋体" w:eastAsia="宋体" w:cs="宋体"/>
          <w:lang w:val="en-US" w:eastAsia="zh-CN"/>
        </w:rPr>
        <w:t xml:space="preserve">7.2 </w:t>
      </w:r>
      <w:r>
        <w:rPr>
          <w:rFonts w:hint="eastAsia" w:ascii="宋体" w:hAnsi="宋体" w:eastAsia="宋体" w:cs="宋体"/>
          <w:lang w:eastAsia="zh-CN"/>
        </w:rPr>
        <w:t>建设项目“三同时“落实情况</w:t>
      </w:r>
      <w:r>
        <w:tab/>
      </w:r>
      <w:r>
        <w:fldChar w:fldCharType="begin"/>
      </w:r>
      <w:r>
        <w:instrText xml:space="preserve"> PAGEREF _Toc21824 \h </w:instrText>
      </w:r>
      <w:r>
        <w:fldChar w:fldCharType="separate"/>
      </w:r>
      <w:r>
        <w:t>32</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_Toc26995 </w:instrText>
      </w:r>
      <w:r>
        <w:rPr>
          <w:rFonts w:hint="eastAsia" w:ascii="宋体" w:hAnsi="宋体" w:eastAsia="宋体" w:cs="宋体"/>
          <w:szCs w:val="24"/>
        </w:rPr>
        <w:fldChar w:fldCharType="separate"/>
      </w:r>
      <w:r>
        <w:rPr>
          <w:rFonts w:hint="eastAsia" w:ascii="宋体" w:hAnsi="宋体" w:eastAsia="宋体" w:cs="宋体"/>
          <w:lang w:val="en-US" w:eastAsia="zh-CN"/>
        </w:rPr>
        <w:t xml:space="preserve">表八 </w:t>
      </w:r>
      <w:r>
        <w:rPr>
          <w:rFonts w:hint="eastAsia" w:ascii="宋体" w:hAnsi="宋体" w:eastAsia="宋体" w:cs="宋体"/>
          <w:lang w:eastAsia="zh-CN"/>
        </w:rPr>
        <w:t>验收监测</w:t>
      </w:r>
      <w:r>
        <w:rPr>
          <w:rFonts w:hint="eastAsia" w:ascii="宋体" w:hAnsi="宋体" w:eastAsia="宋体" w:cs="宋体"/>
        </w:rPr>
        <w:t>结论</w:t>
      </w:r>
      <w:r>
        <w:rPr>
          <w:rFonts w:hint="eastAsia" w:ascii="宋体" w:hAnsi="宋体" w:eastAsia="宋体" w:cs="宋体"/>
          <w:lang w:eastAsia="zh-CN"/>
        </w:rPr>
        <w:t>及</w:t>
      </w:r>
      <w:r>
        <w:rPr>
          <w:rFonts w:hint="eastAsia" w:ascii="宋体" w:hAnsi="宋体" w:eastAsia="宋体" w:cs="宋体"/>
        </w:rPr>
        <w:t>建议</w:t>
      </w:r>
      <w:r>
        <w:tab/>
      </w:r>
      <w:r>
        <w:fldChar w:fldCharType="begin"/>
      </w:r>
      <w:r>
        <w:instrText xml:space="preserve"> PAGEREF _Toc26995 \h </w:instrText>
      </w:r>
      <w:r>
        <w:fldChar w:fldCharType="separate"/>
      </w:r>
      <w:r>
        <w:t>35</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_Toc12309 </w:instrText>
      </w:r>
      <w:r>
        <w:rPr>
          <w:rFonts w:hint="eastAsia" w:ascii="宋体" w:hAnsi="宋体" w:eastAsia="宋体" w:cs="宋体"/>
          <w:szCs w:val="24"/>
        </w:rPr>
        <w:fldChar w:fldCharType="separate"/>
      </w:r>
      <w:r>
        <w:rPr>
          <w:rFonts w:hint="eastAsia" w:ascii="宋体" w:hAnsi="宋体" w:eastAsia="宋体" w:cs="宋体"/>
          <w:lang w:val="en-US" w:eastAsia="zh-CN"/>
        </w:rPr>
        <w:t>8</w:t>
      </w:r>
      <w:r>
        <w:rPr>
          <w:rFonts w:hint="eastAsia" w:ascii="宋体" w:hAnsi="宋体" w:eastAsia="宋体" w:cs="宋体"/>
          <w:lang w:eastAsia="zh-CN"/>
        </w:rPr>
        <w:t>.</w:t>
      </w:r>
      <w:r>
        <w:rPr>
          <w:rFonts w:hint="eastAsia" w:ascii="宋体" w:hAnsi="宋体" w:eastAsia="宋体" w:cs="宋体"/>
        </w:rPr>
        <w:t>1</w:t>
      </w:r>
      <w:r>
        <w:rPr>
          <w:rFonts w:hint="eastAsia" w:ascii="宋体" w:hAnsi="宋体" w:eastAsia="宋体" w:cs="宋体"/>
          <w:lang w:val="en-US" w:eastAsia="zh-CN"/>
        </w:rPr>
        <w:t xml:space="preserve"> </w:t>
      </w:r>
      <w:r>
        <w:rPr>
          <w:rFonts w:hint="eastAsia" w:ascii="宋体" w:hAnsi="宋体" w:eastAsia="宋体" w:cs="宋体"/>
          <w:lang w:eastAsia="zh-CN"/>
        </w:rPr>
        <w:t>验收</w:t>
      </w:r>
      <w:r>
        <w:rPr>
          <w:rFonts w:hint="eastAsia" w:ascii="宋体" w:hAnsi="宋体" w:eastAsia="宋体" w:cs="宋体"/>
        </w:rPr>
        <w:t>监测结论</w:t>
      </w:r>
      <w:r>
        <w:tab/>
      </w:r>
      <w:r>
        <w:fldChar w:fldCharType="begin"/>
      </w:r>
      <w:r>
        <w:instrText xml:space="preserve"> PAGEREF _Toc12309 \h </w:instrText>
      </w:r>
      <w:r>
        <w:fldChar w:fldCharType="separate"/>
      </w:r>
      <w:r>
        <w:t>35</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_Toc6315 </w:instrText>
      </w:r>
      <w:r>
        <w:rPr>
          <w:rFonts w:hint="eastAsia" w:ascii="宋体" w:hAnsi="宋体" w:eastAsia="宋体" w:cs="宋体"/>
          <w:szCs w:val="24"/>
        </w:rPr>
        <w:fldChar w:fldCharType="separate"/>
      </w:r>
      <w:r>
        <w:rPr>
          <w:rFonts w:hint="eastAsia" w:ascii="宋体" w:hAnsi="宋体" w:eastAsia="宋体" w:cs="宋体"/>
          <w:lang w:val="en-US" w:eastAsia="zh-CN"/>
        </w:rPr>
        <w:t>8.2施工期环保措施结论</w:t>
      </w:r>
      <w:r>
        <w:tab/>
      </w:r>
      <w:r>
        <w:fldChar w:fldCharType="begin"/>
      </w:r>
      <w:r>
        <w:instrText xml:space="preserve"> PAGEREF _Toc6315 \h </w:instrText>
      </w:r>
      <w:r>
        <w:fldChar w:fldCharType="separate"/>
      </w:r>
      <w:r>
        <w:t>35</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_Toc5861 </w:instrText>
      </w:r>
      <w:r>
        <w:rPr>
          <w:rFonts w:hint="eastAsia" w:ascii="宋体" w:hAnsi="宋体" w:eastAsia="宋体" w:cs="宋体"/>
          <w:szCs w:val="24"/>
        </w:rPr>
        <w:fldChar w:fldCharType="separate"/>
      </w:r>
      <w:r>
        <w:rPr>
          <w:rFonts w:hint="eastAsia" w:ascii="宋体" w:hAnsi="宋体" w:eastAsia="宋体" w:cs="宋体"/>
          <w:lang w:val="en-US" w:eastAsia="zh-CN"/>
        </w:rPr>
        <w:t>8.3运营期环保措施结论</w:t>
      </w:r>
      <w:r>
        <w:tab/>
      </w:r>
      <w:r>
        <w:fldChar w:fldCharType="begin"/>
      </w:r>
      <w:r>
        <w:instrText xml:space="preserve"> PAGEREF _Toc5861 \h </w:instrText>
      </w:r>
      <w:r>
        <w:fldChar w:fldCharType="separate"/>
      </w:r>
      <w:r>
        <w:t>35</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_Toc27641 </w:instrText>
      </w:r>
      <w:r>
        <w:rPr>
          <w:rFonts w:hint="eastAsia" w:ascii="宋体" w:hAnsi="宋体" w:eastAsia="宋体" w:cs="宋体"/>
          <w:szCs w:val="24"/>
        </w:rPr>
        <w:fldChar w:fldCharType="separate"/>
      </w:r>
      <w:r>
        <w:rPr>
          <w:rFonts w:hint="eastAsia" w:ascii="宋体" w:hAnsi="宋体" w:eastAsia="宋体" w:cs="宋体"/>
          <w:lang w:val="en-US" w:eastAsia="zh-CN"/>
        </w:rPr>
        <w:t>8.3.1运营期废气监测结论</w:t>
      </w:r>
      <w:r>
        <w:tab/>
      </w:r>
      <w:r>
        <w:fldChar w:fldCharType="begin"/>
      </w:r>
      <w:r>
        <w:instrText xml:space="preserve"> PAGEREF _Toc27641 \h </w:instrText>
      </w:r>
      <w:r>
        <w:fldChar w:fldCharType="separate"/>
      </w:r>
      <w:r>
        <w:t>35</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_Toc22119 </w:instrText>
      </w:r>
      <w:r>
        <w:rPr>
          <w:rFonts w:hint="eastAsia" w:ascii="宋体" w:hAnsi="宋体" w:eastAsia="宋体" w:cs="宋体"/>
          <w:szCs w:val="24"/>
        </w:rPr>
        <w:fldChar w:fldCharType="separate"/>
      </w:r>
      <w:r>
        <w:rPr>
          <w:rFonts w:hint="eastAsia" w:ascii="宋体" w:hAnsi="宋体" w:eastAsia="宋体" w:cs="宋体"/>
          <w:lang w:val="en-US" w:eastAsia="zh-CN"/>
        </w:rPr>
        <w:t>8.3.2营运期废水调查结论</w:t>
      </w:r>
      <w:r>
        <w:tab/>
      </w:r>
      <w:r>
        <w:fldChar w:fldCharType="begin"/>
      </w:r>
      <w:r>
        <w:instrText xml:space="preserve"> PAGEREF _Toc22119 \h </w:instrText>
      </w:r>
      <w:r>
        <w:fldChar w:fldCharType="separate"/>
      </w:r>
      <w:r>
        <w:t>36</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_Toc3914 </w:instrText>
      </w:r>
      <w:r>
        <w:rPr>
          <w:rFonts w:hint="eastAsia" w:ascii="宋体" w:hAnsi="宋体" w:eastAsia="宋体" w:cs="宋体"/>
          <w:szCs w:val="24"/>
        </w:rPr>
        <w:fldChar w:fldCharType="separate"/>
      </w:r>
      <w:r>
        <w:rPr>
          <w:rFonts w:hint="eastAsia" w:ascii="宋体" w:hAnsi="宋体" w:eastAsia="宋体" w:cs="宋体"/>
          <w:lang w:val="en-US" w:eastAsia="zh-CN"/>
        </w:rPr>
        <w:t>8.3.3营运期噪声监测结论</w:t>
      </w:r>
      <w:r>
        <w:tab/>
      </w:r>
      <w:r>
        <w:fldChar w:fldCharType="begin"/>
      </w:r>
      <w:r>
        <w:instrText xml:space="preserve"> PAGEREF _Toc3914 \h </w:instrText>
      </w:r>
      <w:r>
        <w:fldChar w:fldCharType="separate"/>
      </w:r>
      <w:r>
        <w:t>36</w:t>
      </w:r>
      <w:r>
        <w:fldChar w:fldCharType="end"/>
      </w:r>
      <w:r>
        <w:rPr>
          <w:rFonts w:hint="eastAsia" w:ascii="宋体" w:hAnsi="宋体" w:eastAsia="宋体" w:cs="宋体"/>
          <w:color w:val="auto"/>
          <w:szCs w:val="24"/>
        </w:rPr>
        <w:fldChar w:fldCharType="end"/>
      </w:r>
    </w:p>
    <w:p>
      <w:pPr>
        <w:pStyle w:val="12"/>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_Toc7305 </w:instrText>
      </w:r>
      <w:r>
        <w:rPr>
          <w:rFonts w:hint="eastAsia" w:ascii="宋体" w:hAnsi="宋体" w:eastAsia="宋体" w:cs="宋体"/>
          <w:szCs w:val="24"/>
        </w:rPr>
        <w:fldChar w:fldCharType="separate"/>
      </w:r>
      <w:r>
        <w:rPr>
          <w:rFonts w:hint="eastAsia" w:ascii="宋体" w:hAnsi="宋体" w:eastAsia="宋体" w:cs="宋体"/>
          <w:lang w:val="en-US" w:eastAsia="zh-CN"/>
        </w:rPr>
        <w:t>8.3.4营运期固体废弃物和危险</w:t>
      </w:r>
      <w:r>
        <w:rPr>
          <w:rFonts w:hint="eastAsia" w:ascii="宋体" w:hAnsi="宋体" w:cs="宋体"/>
          <w:lang w:val="en-US" w:eastAsia="zh-CN"/>
        </w:rPr>
        <w:t>废弃物</w:t>
      </w:r>
      <w:r>
        <w:rPr>
          <w:rFonts w:hint="eastAsia" w:ascii="宋体" w:hAnsi="宋体" w:eastAsia="宋体" w:cs="宋体"/>
          <w:lang w:val="en-US" w:eastAsia="zh-CN"/>
        </w:rPr>
        <w:t>调查结论</w:t>
      </w:r>
      <w:r>
        <w:tab/>
      </w:r>
      <w:r>
        <w:fldChar w:fldCharType="begin"/>
      </w:r>
      <w:r>
        <w:instrText xml:space="preserve"> PAGEREF _Toc7305 \h </w:instrText>
      </w:r>
      <w:r>
        <w:fldChar w:fldCharType="separate"/>
      </w:r>
      <w:r>
        <w:t>36</w:t>
      </w:r>
      <w:r>
        <w:fldChar w:fldCharType="end"/>
      </w:r>
      <w:r>
        <w:rPr>
          <w:rFonts w:hint="eastAsia" w:ascii="宋体" w:hAnsi="宋体" w:eastAsia="宋体" w:cs="宋体"/>
          <w:color w:val="auto"/>
          <w:szCs w:val="24"/>
        </w:rPr>
        <w:fldChar w:fldCharType="end"/>
      </w:r>
    </w:p>
    <w:p>
      <w:pPr>
        <w:pStyle w:val="20"/>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_Toc11205 </w:instrText>
      </w:r>
      <w:r>
        <w:rPr>
          <w:rFonts w:hint="eastAsia" w:ascii="宋体" w:hAnsi="宋体" w:eastAsia="宋体" w:cs="宋体"/>
          <w:szCs w:val="24"/>
        </w:rPr>
        <w:fldChar w:fldCharType="separate"/>
      </w:r>
      <w:r>
        <w:rPr>
          <w:rFonts w:hint="eastAsia" w:ascii="宋体" w:hAnsi="宋体" w:eastAsia="宋体" w:cs="宋体"/>
          <w:lang w:val="en-US" w:eastAsia="zh-CN"/>
        </w:rPr>
        <w:t>8.4</w:t>
      </w:r>
      <w:r>
        <w:rPr>
          <w:rFonts w:hint="eastAsia" w:ascii="宋体" w:hAnsi="宋体" w:eastAsia="宋体" w:cs="宋体"/>
        </w:rPr>
        <w:t>要求及建议</w:t>
      </w:r>
      <w:r>
        <w:tab/>
      </w:r>
      <w:r>
        <w:fldChar w:fldCharType="begin"/>
      </w:r>
      <w:r>
        <w:instrText xml:space="preserve"> PAGEREF _Toc11205 \h </w:instrText>
      </w:r>
      <w:r>
        <w:fldChar w:fldCharType="separate"/>
      </w:r>
      <w:r>
        <w:t>37</w:t>
      </w:r>
      <w:r>
        <w:fldChar w:fldCharType="end"/>
      </w:r>
      <w:r>
        <w:rPr>
          <w:rFonts w:hint="eastAsia" w:ascii="宋体" w:hAnsi="宋体" w:eastAsia="宋体" w:cs="宋体"/>
          <w:color w:val="auto"/>
          <w:szCs w:val="24"/>
        </w:rPr>
        <w:fldChar w:fldCharType="end"/>
      </w:r>
    </w:p>
    <w:p>
      <w:pPr>
        <w:pStyle w:val="17"/>
        <w:tabs>
          <w:tab w:val="right" w:leader="dot" w:pos="8300"/>
        </w:tabs>
      </w:pPr>
      <w:r>
        <w:rPr>
          <w:rFonts w:hint="eastAsia" w:ascii="宋体" w:hAnsi="宋体" w:eastAsia="宋体" w:cs="宋体"/>
          <w:color w:val="auto"/>
          <w:szCs w:val="24"/>
        </w:rPr>
        <w:fldChar w:fldCharType="begin"/>
      </w:r>
      <w:r>
        <w:rPr>
          <w:rFonts w:hint="eastAsia" w:ascii="宋体" w:hAnsi="宋体" w:eastAsia="宋体" w:cs="宋体"/>
          <w:szCs w:val="24"/>
        </w:rPr>
        <w:instrText xml:space="preserve"> HYPERLINK \l _Toc32023 </w:instrText>
      </w:r>
      <w:r>
        <w:rPr>
          <w:rFonts w:hint="eastAsia" w:ascii="宋体" w:hAnsi="宋体" w:eastAsia="宋体" w:cs="宋体"/>
          <w:szCs w:val="24"/>
        </w:rPr>
        <w:fldChar w:fldCharType="separate"/>
      </w:r>
      <w:r>
        <w:rPr>
          <w:rFonts w:hint="eastAsia" w:ascii="宋体" w:hAnsi="宋体" w:eastAsia="宋体" w:cs="宋体"/>
          <w:bCs w:val="0"/>
          <w:szCs w:val="15"/>
        </w:rPr>
        <w:t>建设项目竣工环境保护“三同时”验收登记表</w:t>
      </w:r>
      <w:r>
        <w:tab/>
      </w:r>
      <w:r>
        <w:fldChar w:fldCharType="begin"/>
      </w:r>
      <w:r>
        <w:instrText xml:space="preserve"> PAGEREF _Toc32023 \h </w:instrText>
      </w:r>
      <w:r>
        <w:fldChar w:fldCharType="separate"/>
      </w:r>
      <w:r>
        <w:t>38</w:t>
      </w:r>
      <w:r>
        <w:fldChar w:fldCharType="end"/>
      </w:r>
      <w:r>
        <w:rPr>
          <w:rFonts w:hint="eastAsia" w:ascii="宋体" w:hAnsi="宋体" w:eastAsia="宋体" w:cs="宋体"/>
          <w:color w:val="auto"/>
          <w:szCs w:val="24"/>
        </w:rPr>
        <w:fldChar w:fldCharType="end"/>
      </w: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fldChar w:fldCharType="end"/>
      </w:r>
      <w:bookmarkStart w:id="0" w:name="_Toc27405"/>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24"/>
          <w:szCs w:val="24"/>
        </w:rPr>
      </w:pPr>
    </w:p>
    <w:p>
      <w:pPr>
        <w:tabs>
          <w:tab w:val="left" w:pos="3462"/>
        </w:tabs>
        <w:bidi w:val="0"/>
        <w:rPr>
          <w:rFonts w:hint="eastAsia" w:ascii="宋体" w:hAnsi="宋体" w:eastAsia="宋体" w:cs="宋体"/>
          <w:color w:val="auto"/>
          <w:lang w:eastAsia="zh-CN"/>
        </w:rPr>
      </w:pPr>
      <w:r>
        <w:rPr>
          <w:rFonts w:hint="eastAsia" w:ascii="宋体" w:hAnsi="宋体" w:eastAsia="宋体" w:cs="宋体"/>
          <w:color w:val="auto"/>
          <w:lang w:eastAsia="zh-CN"/>
        </w:rPr>
        <w:tab/>
      </w:r>
    </w:p>
    <w:p>
      <w:pPr>
        <w:pStyle w:val="7"/>
        <w:rPr>
          <w:rFonts w:hint="eastAsia" w:ascii="宋体" w:hAnsi="宋体" w:eastAsia="宋体" w:cs="宋体"/>
          <w:color w:val="auto"/>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sectPr>
          <w:headerReference r:id="rId7" w:type="default"/>
          <w:footerReference r:id="rId8" w:type="default"/>
          <w:pgSz w:w="11906" w:h="16838"/>
          <w:pgMar w:top="1440" w:right="1803" w:bottom="1440" w:left="1803" w:header="851" w:footer="992" w:gutter="0"/>
          <w:pgBorders>
            <w:top w:val="none" w:sz="0" w:space="0"/>
            <w:left w:val="none" w:sz="0" w:space="0"/>
            <w:bottom w:val="none" w:sz="0" w:space="0"/>
            <w:right w:val="none" w:sz="0" w:space="0"/>
          </w:pgBorders>
          <w:pgNumType w:fmt="lowerRoman"/>
          <w:cols w:space="720" w:num="1"/>
          <w:docGrid w:type="lines" w:linePitch="319" w:charSpace="0"/>
        </w:sectPr>
      </w:pPr>
    </w:p>
    <w:p>
      <w:pPr>
        <w:keepNext w:val="0"/>
        <w:keepLines w:val="0"/>
        <w:pageBreakBefore w:val="0"/>
        <w:widowControl/>
        <w:tabs>
          <w:tab w:val="right" w:leader="dot" w:pos="8300"/>
        </w:tabs>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color w:val="auto"/>
          <w:sz w:val="28"/>
          <w:szCs w:val="28"/>
        </w:rPr>
      </w:pPr>
      <w:r>
        <w:rPr>
          <w:rFonts w:hint="eastAsia" w:ascii="宋体" w:hAnsi="宋体" w:eastAsia="宋体" w:cs="宋体"/>
          <w:b/>
          <w:bCs/>
          <w:color w:val="auto"/>
          <w:sz w:val="28"/>
          <w:szCs w:val="28"/>
        </w:rPr>
        <w:t>附</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件</w:t>
      </w:r>
      <w:bookmarkEnd w:id="0"/>
    </w:p>
    <w:p>
      <w:pPr>
        <w:pStyle w:val="7"/>
        <w:rPr>
          <w:rFonts w:hint="eastAsia" w:ascii="宋体" w:hAnsi="宋体" w:eastAsia="宋体" w:cs="宋体"/>
          <w:color w:val="auto"/>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库尔勒经济技术开发区环保局</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关于对</w:t>
      </w:r>
      <w:r>
        <w:rPr>
          <w:rFonts w:hint="eastAsia" w:ascii="宋体" w:hAnsi="宋体" w:cs="宋体"/>
          <w:color w:val="auto"/>
          <w:sz w:val="24"/>
          <w:szCs w:val="24"/>
          <w:lang w:val="en-US" w:eastAsia="zh-CN"/>
        </w:rPr>
        <w:t>&lt;</w:t>
      </w:r>
      <w:r>
        <w:rPr>
          <w:rFonts w:hint="eastAsia" w:ascii="宋体" w:hAnsi="宋体" w:cs="宋体"/>
          <w:color w:val="auto"/>
          <w:sz w:val="24"/>
          <w:szCs w:val="24"/>
          <w:lang w:eastAsia="zh-CN"/>
        </w:rPr>
        <w:t>巴州好绿筑科技有限公司绿色装配式建筑产业园建设项目（一期）环境影响报告表</w:t>
      </w:r>
      <w:r>
        <w:rPr>
          <w:rFonts w:hint="eastAsia" w:ascii="宋体" w:hAnsi="宋体" w:cs="宋体"/>
          <w:color w:val="auto"/>
          <w:sz w:val="24"/>
          <w:szCs w:val="24"/>
          <w:lang w:val="en-US" w:eastAsia="zh-CN"/>
        </w:rPr>
        <w:t>&gt;</w:t>
      </w:r>
      <w:r>
        <w:rPr>
          <w:rFonts w:hint="eastAsia" w:ascii="宋体" w:hAnsi="宋体" w:eastAsia="宋体" w:cs="宋体"/>
          <w:color w:val="auto"/>
          <w:sz w:val="24"/>
          <w:szCs w:val="24"/>
          <w:lang w:eastAsia="zh-CN"/>
        </w:rPr>
        <w:t xml:space="preserve">的批复》 </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库开环评价函〔2021〕7号</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2021年6月24日</w:t>
      </w:r>
      <w:r>
        <w:rPr>
          <w:rFonts w:hint="eastAsia" w:ascii="宋体" w:hAnsi="宋体" w:eastAsia="宋体" w:cs="宋体"/>
          <w:color w:val="auto"/>
          <w:sz w:val="24"/>
          <w:szCs w:val="24"/>
          <w:lang w:eastAsia="zh-CN"/>
        </w:rPr>
        <w:t>；</w:t>
      </w:r>
    </w:p>
    <w:p>
      <w:pPr>
        <w:bidi w:val="0"/>
        <w:ind w:firstLine="480" w:firstLineChars="200"/>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巴州好绿筑科技有限公司</w:t>
      </w:r>
      <w:r>
        <w:rPr>
          <w:rFonts w:hint="eastAsia" w:ascii="宋体" w:hAnsi="宋体" w:eastAsia="宋体" w:cs="宋体"/>
          <w:color w:val="auto"/>
          <w:lang w:eastAsia="zh-CN"/>
        </w:rPr>
        <w:t>营业执照；</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eastAsia="zh-CN"/>
        </w:rPr>
        <w:t>巴州好绿筑科技有限公司</w:t>
      </w:r>
      <w:r>
        <w:rPr>
          <w:rFonts w:hint="eastAsia" w:ascii="宋体" w:hAnsi="宋体" w:eastAsia="宋体" w:cs="宋体"/>
          <w:color w:val="auto"/>
          <w:sz w:val="24"/>
          <w:szCs w:val="24"/>
          <w:lang w:val="en-US" w:eastAsia="zh-CN"/>
        </w:rPr>
        <w:t>提供的其它资料。</w:t>
      </w:r>
    </w:p>
    <w:p>
      <w:pPr>
        <w:spacing w:after="0" w:line="560" w:lineRule="exact"/>
        <w:ind w:left="0" w:leftChars="0" w:firstLine="0" w:firstLineChars="0"/>
        <w:rPr>
          <w:rFonts w:hint="eastAsia" w:ascii="宋体" w:hAnsi="宋体" w:eastAsia="宋体" w:cs="宋体"/>
          <w:color w:val="auto"/>
          <w:sz w:val="28"/>
          <w:szCs w:val="28"/>
        </w:rPr>
      </w:pPr>
    </w:p>
    <w:p>
      <w:pPr>
        <w:ind w:left="0" w:leftChars="0" w:firstLine="0" w:firstLineChars="0"/>
        <w:rPr>
          <w:rFonts w:hint="eastAsia" w:ascii="宋体" w:hAnsi="宋体" w:eastAsia="宋体" w:cs="宋体"/>
          <w:color w:val="auto"/>
          <w:sz w:val="30"/>
          <w:szCs w:val="30"/>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rPr>
          <w:rFonts w:hint="eastAsia" w:ascii="宋体" w:hAnsi="宋体" w:eastAsia="宋体" w:cs="宋体"/>
          <w:color w:val="auto"/>
          <w:sz w:val="30"/>
          <w:szCs w:val="30"/>
          <w:lang w:val="en-US" w:eastAsia="zh-CN" w:bidi="ar-SA"/>
        </w:rPr>
      </w:pPr>
    </w:p>
    <w:p>
      <w:pPr>
        <w:tabs>
          <w:tab w:val="left" w:pos="520"/>
        </w:tabs>
        <w:ind w:left="0" w:leftChars="0" w:firstLine="0" w:firstLineChars="0"/>
        <w:jc w:val="left"/>
        <w:rPr>
          <w:rFonts w:hint="eastAsia" w:ascii="宋体" w:hAnsi="宋体" w:eastAsia="宋体" w:cs="宋体"/>
          <w:color w:val="auto"/>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lowerRoman"/>
          <w:cols w:space="720" w:num="1"/>
          <w:docGrid w:type="lines" w:linePitch="319" w:charSpace="0"/>
        </w:sectPr>
      </w:pPr>
    </w:p>
    <w:p>
      <w:pPr>
        <w:bidi w:val="0"/>
        <w:jc w:val="center"/>
        <w:rPr>
          <w:rFonts w:hint="eastAsia" w:ascii="宋体" w:hAnsi="宋体" w:eastAsia="宋体" w:cs="宋体"/>
          <w:b/>
          <w:bCs/>
          <w:color w:val="auto"/>
        </w:rPr>
      </w:pPr>
      <w:bookmarkStart w:id="1" w:name="_Toc7226"/>
      <w:bookmarkStart w:id="2" w:name="_Toc20057"/>
      <w:bookmarkStart w:id="3" w:name="_Toc14608"/>
      <w:bookmarkStart w:id="4" w:name="_Toc23502"/>
      <w:r>
        <w:rPr>
          <w:rFonts w:hint="eastAsia" w:ascii="宋体" w:hAnsi="宋体" w:eastAsia="宋体" w:cs="宋体"/>
          <w:b/>
          <w:bCs/>
          <w:color w:val="auto"/>
        </w:rPr>
        <w:t>前  言</w:t>
      </w:r>
      <w:bookmarkEnd w:id="1"/>
      <w:bookmarkEnd w:id="2"/>
      <w:bookmarkEnd w:id="3"/>
      <w:bookmarkEnd w:id="4"/>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lang w:val="en-US" w:eastAsia="zh-CN"/>
        </w:rPr>
      </w:pPr>
      <w:bookmarkStart w:id="5" w:name="_Toc27690"/>
      <w:r>
        <w:rPr>
          <w:rFonts w:hint="eastAsia"/>
          <w:lang w:val="en-US" w:eastAsia="zh-CN"/>
        </w:rPr>
        <w:t>巴州好绿筑科技有限公司正常运营且环保手续齐全。目前，巴州好绿筑科技有限公司拟新建1栋占地面积为4320m</w:t>
      </w:r>
      <w:r>
        <w:rPr>
          <w:rFonts w:hint="eastAsia"/>
          <w:vertAlign w:val="superscript"/>
          <w:lang w:val="en-US" w:eastAsia="zh-CN"/>
        </w:rPr>
        <w:t>2</w:t>
      </w:r>
      <w:r>
        <w:rPr>
          <w:rFonts w:hint="eastAsia"/>
          <w:lang w:val="en-US" w:eastAsia="zh-CN"/>
        </w:rPr>
        <w:t>的车间，用于生产活动。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rPr>
        <w:t>该项目于</w:t>
      </w:r>
      <w:r>
        <w:rPr>
          <w:rFonts w:hint="eastAsia"/>
          <w:lang w:val="en-US" w:eastAsia="zh-CN"/>
        </w:rPr>
        <w:t>2021年3月</w:t>
      </w:r>
      <w:r>
        <w:rPr>
          <w:rFonts w:hint="eastAsia"/>
        </w:rPr>
        <w:t>委托</w:t>
      </w:r>
      <w:r>
        <w:rPr>
          <w:rFonts w:hint="eastAsia"/>
          <w:lang w:eastAsia="zh-CN"/>
        </w:rPr>
        <w:t>新疆中测环保科技有限公司</w:t>
      </w:r>
      <w:r>
        <w:rPr>
          <w:rFonts w:hint="eastAsia"/>
        </w:rPr>
        <w:t>编制完成了</w:t>
      </w:r>
      <w:r>
        <w:rPr>
          <w:rFonts w:hint="eastAsia"/>
          <w:lang w:eastAsia="zh-CN"/>
        </w:rPr>
        <w:t>《巴州好绿筑科技有限公司绿色装配式建筑产业园建设项目（一期）环境影响报告表</w:t>
      </w:r>
      <w:r>
        <w:rPr>
          <w:rFonts w:hint="eastAsia"/>
        </w:rPr>
        <w:t>》</w:t>
      </w:r>
      <w:r>
        <w:rPr>
          <w:rFonts w:hint="eastAsia"/>
          <w:lang w:eastAsia="zh-CN"/>
        </w:rPr>
        <w:t>，</w:t>
      </w:r>
      <w:r>
        <w:rPr>
          <w:rFonts w:hint="eastAsia"/>
          <w:lang w:val="en-US" w:eastAsia="zh-CN"/>
        </w:rPr>
        <w:t>2021年6月24日，库尔勒经济技术开发区环保局以</w:t>
      </w:r>
      <w:r>
        <w:rPr>
          <w:rFonts w:hint="eastAsia"/>
          <w:lang w:eastAsia="zh-CN"/>
        </w:rPr>
        <w:t>库开环评价函〔2021〕7号</w:t>
      </w:r>
      <w:r>
        <w:rPr>
          <w:rFonts w:hint="eastAsia"/>
          <w:lang w:val="en-US" w:eastAsia="zh-CN"/>
        </w:rPr>
        <w:t>出具了</w:t>
      </w:r>
      <w:r>
        <w:rPr>
          <w:rFonts w:hint="eastAsia"/>
          <w:lang w:eastAsia="zh-CN"/>
        </w:rPr>
        <w:t xml:space="preserve">关于对《巴州好绿筑科技有限公司绿色装配式建筑产业园建设项目（一期）环境影响报告表》的批复 </w:t>
      </w:r>
      <w:r>
        <w:rPr>
          <w:rFonts w:hint="eastAsia"/>
          <w:lang w:val="en-US" w:eastAsia="zh-CN"/>
        </w:rPr>
        <w:t>。</w:t>
      </w:r>
      <w:bookmarkEnd w:id="5"/>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lang w:val="en-US"/>
        </w:rPr>
      </w:pPr>
      <w:r>
        <w:rPr>
          <w:rFonts w:hint="eastAsia"/>
          <w:lang w:eastAsia="zh-CN"/>
        </w:rPr>
        <w:t>根</w:t>
      </w:r>
      <w:r>
        <w:rPr>
          <w:rFonts w:hint="eastAsia"/>
        </w:rPr>
        <w:t>据</w:t>
      </w:r>
      <w:r>
        <w:rPr>
          <w:rFonts w:hint="eastAsia"/>
          <w:lang w:eastAsia="zh-CN"/>
        </w:rPr>
        <w:t>《</w:t>
      </w:r>
      <w:r>
        <w:rPr>
          <w:rFonts w:hint="eastAsia"/>
        </w:rPr>
        <w:t>建设项目环境保护</w:t>
      </w:r>
      <w:r>
        <w:rPr>
          <w:rFonts w:hint="eastAsia"/>
          <w:lang w:eastAsia="zh-CN"/>
        </w:rPr>
        <w:t>管理</w:t>
      </w:r>
      <w:r>
        <w:rPr>
          <w:rFonts w:hint="eastAsia"/>
        </w:rPr>
        <w:t>条例》（国务院令第</w:t>
      </w:r>
      <w:r>
        <w:rPr>
          <w:rFonts w:hint="eastAsia"/>
          <w:lang w:val="en-US" w:eastAsia="zh-CN"/>
        </w:rPr>
        <w:t>682</w:t>
      </w:r>
      <w:r>
        <w:rPr>
          <w:rFonts w:hint="eastAsia"/>
        </w:rPr>
        <w:t>号</w:t>
      </w:r>
      <w:r>
        <w:rPr>
          <w:rFonts w:hint="eastAsia"/>
          <w:lang w:eastAsia="zh-CN"/>
        </w:rPr>
        <w:t>，</w:t>
      </w:r>
      <w:r>
        <w:rPr>
          <w:rFonts w:hint="eastAsia"/>
          <w:lang w:val="en-US" w:eastAsia="zh-CN"/>
        </w:rPr>
        <w:t>2017年10月1日起施行</w:t>
      </w:r>
      <w:r>
        <w:rPr>
          <w:rFonts w:hint="eastAsia"/>
          <w:lang w:eastAsia="zh-CN"/>
        </w:rPr>
        <w:t>）</w:t>
      </w:r>
      <w:r>
        <w:rPr>
          <w:rFonts w:hint="eastAsia"/>
        </w:rPr>
        <w:t>和</w:t>
      </w:r>
      <w:r>
        <w:rPr>
          <w:rFonts w:hint="eastAsia"/>
          <w:lang w:eastAsia="zh-CN"/>
        </w:rPr>
        <w:t>《</w:t>
      </w:r>
      <w:r>
        <w:rPr>
          <w:rFonts w:hint="eastAsia"/>
        </w:rPr>
        <w:t>建设项目竣工环境保护验收管理办法》（国家环保总局令第13号</w:t>
      </w:r>
      <w:r>
        <w:rPr>
          <w:rFonts w:hint="eastAsia"/>
          <w:lang w:eastAsia="zh-CN"/>
        </w:rPr>
        <w:t>，</w:t>
      </w:r>
      <w:r>
        <w:rPr>
          <w:rFonts w:hint="eastAsia"/>
          <w:lang w:val="en-US" w:eastAsia="zh-CN"/>
        </w:rPr>
        <w:t>2002年2月</w:t>
      </w:r>
      <w:r>
        <w:rPr>
          <w:rFonts w:hint="eastAsia"/>
          <w:lang w:eastAsia="zh-CN"/>
        </w:rPr>
        <w:t>）</w:t>
      </w:r>
      <w:r>
        <w:rPr>
          <w:rFonts w:hint="eastAsia"/>
        </w:rPr>
        <w:t>的要求</w:t>
      </w:r>
      <w:r>
        <w:rPr>
          <w:rFonts w:hint="eastAsia"/>
          <w:lang w:eastAsia="zh-CN"/>
        </w:rPr>
        <w:t>，</w:t>
      </w:r>
      <w:r>
        <w:rPr>
          <w:rFonts w:hint="eastAsia"/>
        </w:rPr>
        <w:t>受</w:t>
      </w:r>
      <w:r>
        <w:rPr>
          <w:rFonts w:hint="eastAsia"/>
          <w:lang w:eastAsia="zh-CN"/>
        </w:rPr>
        <w:t>巴州好绿筑科技有限公司</w:t>
      </w:r>
      <w:r>
        <w:rPr>
          <w:rFonts w:hint="eastAsia"/>
        </w:rPr>
        <w:t>的委托，</w:t>
      </w:r>
      <w:r>
        <w:rPr>
          <w:rFonts w:hint="eastAsia"/>
          <w:lang w:eastAsia="zh-CN"/>
        </w:rPr>
        <w:t>新疆中测测试有限责任公司</w:t>
      </w:r>
      <w:r>
        <w:rPr>
          <w:rFonts w:hint="eastAsia"/>
        </w:rPr>
        <w:t>于</w:t>
      </w:r>
      <w:r>
        <w:rPr>
          <w:rFonts w:hint="eastAsia"/>
          <w:highlight w:val="none"/>
        </w:rPr>
        <w:t>20</w:t>
      </w:r>
      <w:r>
        <w:rPr>
          <w:rFonts w:hint="eastAsia"/>
          <w:highlight w:val="none"/>
          <w:lang w:val="en-US" w:eastAsia="zh-CN"/>
        </w:rPr>
        <w:t>22</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17至4月18日</w:t>
      </w:r>
      <w:r>
        <w:rPr>
          <w:rFonts w:hint="eastAsia"/>
          <w:highlight w:val="none"/>
        </w:rPr>
        <w:t>对该项目</w:t>
      </w:r>
      <w:r>
        <w:rPr>
          <w:rFonts w:hint="eastAsia"/>
        </w:rPr>
        <w:t>中废水、废气、噪声、固体废物等污染源排污现状和各类环保治理设施的处理能力进行了现场勘查，并收集了相关技术资料，在此基础上，编制了该项目的验收监测方案。</w:t>
      </w:r>
      <w:r>
        <w:rPr>
          <w:rFonts w:hint="eastAsia"/>
          <w:lang w:eastAsia="zh-CN"/>
        </w:rPr>
        <w:t>新疆中测测试有限责任公司</w:t>
      </w:r>
      <w:r>
        <w:rPr>
          <w:rFonts w:hint="eastAsia"/>
        </w:rPr>
        <w:t>于20</w:t>
      </w:r>
      <w:r>
        <w:rPr>
          <w:rFonts w:hint="eastAsia"/>
          <w:lang w:val="en-US"/>
        </w:rPr>
        <w:t>2</w:t>
      </w:r>
      <w:r>
        <w:rPr>
          <w:rFonts w:hint="eastAsia"/>
          <w:lang w:val="en-US" w:eastAsia="zh-CN"/>
        </w:rPr>
        <w:t>2</w:t>
      </w:r>
      <w:r>
        <w:rPr>
          <w:rFonts w:hint="eastAsia"/>
        </w:rPr>
        <w:t>年</w:t>
      </w:r>
      <w:r>
        <w:rPr>
          <w:rFonts w:hint="eastAsia"/>
          <w:lang w:val="en-US" w:eastAsia="zh-CN"/>
        </w:rPr>
        <w:t>4</w:t>
      </w:r>
      <w:r>
        <w:rPr>
          <w:rFonts w:hint="eastAsia"/>
        </w:rPr>
        <w:t>月对该项目进行了环境保护验收监测</w:t>
      </w:r>
      <w:r>
        <w:rPr>
          <w:rFonts w:hint="eastAsia"/>
          <w:lang w:val="en-US" w:eastAsia="zh-CN"/>
        </w:rPr>
        <w:t>并编制报告</w:t>
      </w:r>
      <w:r>
        <w:rPr>
          <w:rFonts w:hint="eastAsia"/>
        </w:rPr>
        <w:t>。</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sz w:val="24"/>
          <w:szCs w:val="24"/>
        </w:rPr>
      </w:pPr>
    </w:p>
    <w:p>
      <w:pPr>
        <w:bidi w:val="0"/>
        <w:rPr>
          <w:rFonts w:hint="eastAsia" w:ascii="宋体" w:hAnsi="宋体" w:eastAsia="宋体" w:cs="宋体"/>
          <w:color w:val="auto"/>
          <w:lang w:eastAsia="zh-CN"/>
        </w:rPr>
      </w:pPr>
      <w:bookmarkStart w:id="6" w:name="_Toc19331"/>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bidi w:val="0"/>
        <w:rPr>
          <w:rFonts w:hint="eastAsia" w:ascii="宋体" w:hAnsi="宋体" w:eastAsia="宋体" w:cs="宋体"/>
          <w:color w:val="auto"/>
          <w:lang w:eastAsia="zh-CN"/>
        </w:rPr>
      </w:pPr>
    </w:p>
    <w:p>
      <w:pPr>
        <w:rPr>
          <w:rFonts w:hint="eastAsia" w:ascii="宋体" w:hAnsi="宋体" w:eastAsia="宋体" w:cs="宋体"/>
          <w:color w:val="auto"/>
          <w:lang w:eastAsia="zh-CN"/>
        </w:rPr>
        <w:sectPr>
          <w:headerReference r:id="rId9" w:type="default"/>
          <w:footerReference r:id="rId10" w:type="default"/>
          <w:pgSz w:w="11906" w:h="16838"/>
          <w:pgMar w:top="1418" w:right="1588" w:bottom="1418" w:left="1418" w:header="851" w:footer="964" w:gutter="0"/>
          <w:pgBorders>
            <w:top w:val="none" w:sz="0" w:space="0"/>
            <w:left w:val="none" w:sz="0" w:space="0"/>
            <w:bottom w:val="none" w:sz="0" w:space="0"/>
            <w:right w:val="none" w:sz="0" w:space="0"/>
          </w:pgBorders>
          <w:pgNumType w:fmt="decimal" w:start="1"/>
          <w:cols w:space="720" w:num="1"/>
          <w:docGrid w:type="lines" w:linePitch="326" w:charSpace="0"/>
        </w:sectPr>
      </w:pPr>
    </w:p>
    <w:p>
      <w:pPr>
        <w:pStyle w:val="5"/>
        <w:bidi w:val="0"/>
        <w:rPr>
          <w:rFonts w:hint="eastAsia" w:ascii="宋体" w:hAnsi="宋体" w:eastAsia="宋体" w:cs="宋体"/>
          <w:color w:val="auto"/>
        </w:rPr>
      </w:pPr>
      <w:bookmarkStart w:id="7" w:name="_Toc6592"/>
      <w:r>
        <w:rPr>
          <w:rFonts w:hint="eastAsia" w:ascii="宋体" w:hAnsi="宋体" w:eastAsia="宋体" w:cs="宋体"/>
          <w:color w:val="auto"/>
          <w:lang w:eastAsia="zh-CN"/>
        </w:rPr>
        <w:t>表一</w:t>
      </w:r>
      <w:r>
        <w:rPr>
          <w:rFonts w:hint="eastAsia" w:ascii="宋体" w:hAnsi="宋体" w:eastAsia="宋体" w:cs="宋体"/>
          <w:color w:val="auto"/>
          <w:lang w:val="en-US" w:eastAsia="zh-CN"/>
        </w:rPr>
        <w:t xml:space="preserve"> 工程概况、依据、标准</w:t>
      </w:r>
      <w:bookmarkEnd w:id="6"/>
      <w:bookmarkEnd w:id="7"/>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Layout w:type="fixed"/>
        <w:tblCellMar>
          <w:top w:w="0" w:type="dxa"/>
          <w:left w:w="108" w:type="dxa"/>
          <w:bottom w:w="0" w:type="dxa"/>
          <w:right w:w="108" w:type="dxa"/>
        </w:tblCellMar>
      </w:tblPr>
      <w:tblGrid>
        <w:gridCol w:w="1576"/>
        <w:gridCol w:w="2094"/>
        <w:gridCol w:w="1493"/>
        <w:gridCol w:w="1102"/>
        <w:gridCol w:w="398"/>
        <w:gridCol w:w="773"/>
        <w:gridCol w:w="1049"/>
      </w:tblGrid>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760"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bookmarkStart w:id="8" w:name="_Toc2515"/>
            <w:r>
              <w:rPr>
                <w:rFonts w:hint="eastAsia" w:ascii="宋体" w:hAnsi="宋体" w:eastAsia="宋体" w:cs="宋体"/>
                <w:color w:val="auto"/>
                <w:sz w:val="21"/>
                <w:szCs w:val="21"/>
              </w:rPr>
              <w:t>建设项目名称</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巴州好绿筑科技有限公司绿色装配式建筑产业园建设项目（一期）</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634"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建设单位名称</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巴州好绿筑科技有限公司</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4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法人</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李明航</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联系人</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高承选</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13309963973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2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建设项目性质</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行业类别及代码</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二十七、非金属矿物制品业-55、石膏、水泥制品及类似制品制造</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建设地点</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新疆库尔勒经济技术开发区康盛路西侧</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77"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环评时间</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p>
        </w:tc>
        <w:tc>
          <w:tcPr>
            <w:tcW w:w="25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开工建设时间</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2020</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月</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5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投入试生产时间</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月</w:t>
            </w:r>
          </w:p>
        </w:tc>
        <w:tc>
          <w:tcPr>
            <w:tcW w:w="25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现场监测时间</w:t>
            </w:r>
          </w:p>
        </w:tc>
        <w:tc>
          <w:tcPr>
            <w:tcW w:w="222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2022.2.13</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2.14</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1010"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环评</w:t>
            </w:r>
            <w:r>
              <w:rPr>
                <w:rFonts w:hint="eastAsia" w:ascii="宋体" w:hAnsi="宋体" w:eastAsia="宋体" w:cs="宋体"/>
                <w:color w:val="auto"/>
                <w:sz w:val="21"/>
                <w:szCs w:val="21"/>
                <w:lang w:eastAsia="zh-CN"/>
              </w:rPr>
              <w:t>报告表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审批部门</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库尔勒经济技术开发区环保局</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环评报告表编制单位</w:t>
            </w:r>
          </w:p>
        </w:tc>
        <w:tc>
          <w:tcPr>
            <w:tcW w:w="3322"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新疆中测环保科技有限公司</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542"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总投资概算</w:t>
            </w:r>
          </w:p>
        </w:tc>
        <w:tc>
          <w:tcPr>
            <w:tcW w:w="209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1500万元</w:t>
            </w:r>
          </w:p>
        </w:tc>
        <w:tc>
          <w:tcPr>
            <w:tcW w:w="14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环保投资</w:t>
            </w:r>
          </w:p>
        </w:tc>
        <w:tc>
          <w:tcPr>
            <w:tcW w:w="150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30.6万元</w:t>
            </w:r>
          </w:p>
        </w:tc>
        <w:tc>
          <w:tcPr>
            <w:tcW w:w="7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比例</w:t>
            </w:r>
          </w:p>
        </w:tc>
        <w:tc>
          <w:tcPr>
            <w:tcW w:w="104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2.04</w:t>
            </w:r>
            <w:r>
              <w:rPr>
                <w:rFonts w:hint="eastAsia" w:ascii="宋体" w:hAnsi="宋体" w:eastAsia="宋体" w:cs="宋体"/>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6383"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验收监测依据</w:t>
            </w:r>
          </w:p>
        </w:tc>
        <w:tc>
          <w:tcPr>
            <w:tcW w:w="6909" w:type="dxa"/>
            <w:gridSpan w:val="6"/>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1.《中华人民共和国环境保护法》（2014年4月24日）；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2.《建设项目环境保护管理条例》，国务院令第682号（2017年10月1日起施行）；</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3.《建设项目竣工环境保护验收暂行办法》，国环规环评[2017]4号，2017年11月22日；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4.《建设项目竣工环境保护验收技术指南 污染影响类》，生态环境部令第9号，2018年5月16日；</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lang w:val="en-US" w:eastAsia="zh-CN"/>
              </w:rPr>
              <w:t>5.《</w:t>
            </w:r>
            <w:r>
              <w:rPr>
                <w:rFonts w:hint="eastAsia" w:ascii="宋体" w:hAnsi="宋体" w:cs="宋体"/>
                <w:color w:val="auto"/>
                <w:sz w:val="21"/>
                <w:szCs w:val="21"/>
                <w:lang w:eastAsia="zh-CN"/>
              </w:rPr>
              <w:t>巴州好绿筑科技有限公司绿色装配式建筑产业园建设项目（一期）环境影响报告表</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eastAsia="zh-CN"/>
              </w:rPr>
              <w:t>新疆</w:t>
            </w:r>
            <w:r>
              <w:rPr>
                <w:rFonts w:hint="eastAsia" w:ascii="宋体" w:hAnsi="宋体" w:cs="宋体"/>
                <w:color w:val="auto"/>
                <w:sz w:val="21"/>
                <w:szCs w:val="21"/>
                <w:highlight w:val="none"/>
                <w:lang w:eastAsia="zh-CN"/>
              </w:rPr>
              <w:t>中测</w:t>
            </w:r>
            <w:r>
              <w:rPr>
                <w:rFonts w:hint="eastAsia" w:ascii="宋体" w:hAnsi="宋体" w:cs="宋体"/>
                <w:color w:val="auto"/>
                <w:sz w:val="21"/>
                <w:szCs w:val="21"/>
                <w:highlight w:val="none"/>
                <w:lang w:val="en-US" w:eastAsia="zh-CN"/>
              </w:rPr>
              <w:t>众联环保咨询服务</w:t>
            </w:r>
            <w:r>
              <w:rPr>
                <w:rFonts w:hint="eastAsia" w:ascii="宋体" w:hAnsi="宋体" w:cs="宋体"/>
                <w:color w:val="auto"/>
                <w:sz w:val="21"/>
                <w:szCs w:val="21"/>
                <w:highlight w:val="none"/>
                <w:lang w:eastAsia="zh-CN"/>
              </w:rPr>
              <w:t>有限公司</w:t>
            </w:r>
            <w:r>
              <w:rPr>
                <w:rFonts w:hint="eastAsia" w:ascii="宋体" w:hAnsi="宋体" w:eastAsia="宋体" w:cs="宋体"/>
                <w:color w:val="auto"/>
                <w:sz w:val="21"/>
                <w:szCs w:val="21"/>
                <w:highlight w:val="none"/>
                <w:lang w:val="en-US" w:eastAsia="zh-CN"/>
              </w:rPr>
              <w:t>，20</w:t>
            </w:r>
            <w:r>
              <w:rPr>
                <w:rFonts w:hint="eastAsia" w:ascii="宋体" w:hAnsi="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月；</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关于对《</w:t>
            </w:r>
            <w:r>
              <w:rPr>
                <w:rFonts w:hint="eastAsia" w:ascii="宋体" w:hAnsi="宋体" w:cs="宋体"/>
                <w:color w:val="auto"/>
                <w:sz w:val="21"/>
                <w:szCs w:val="21"/>
                <w:highlight w:val="none"/>
                <w:lang w:eastAsia="zh-CN"/>
              </w:rPr>
              <w:t>巴州好绿筑科技有限公司</w:t>
            </w:r>
            <w:r>
              <w:rPr>
                <w:rFonts w:hint="eastAsia" w:ascii="宋体" w:hAnsi="宋体" w:cs="宋体"/>
                <w:color w:val="auto"/>
                <w:sz w:val="21"/>
                <w:szCs w:val="21"/>
                <w:lang w:eastAsia="zh-CN"/>
              </w:rPr>
              <w:t>绿色装配式建筑产业园建设项目（一期）环境影响报告表</w:t>
            </w:r>
            <w:r>
              <w:rPr>
                <w:rFonts w:hint="eastAsia" w:ascii="宋体" w:hAnsi="宋体" w:eastAsia="宋体" w:cs="宋体"/>
                <w:color w:val="auto"/>
                <w:sz w:val="21"/>
                <w:szCs w:val="21"/>
                <w:lang w:eastAsia="zh-CN"/>
              </w:rPr>
              <w:t xml:space="preserve">》的批复 </w:t>
            </w:r>
            <w:r>
              <w:rPr>
                <w:rFonts w:hint="eastAsia" w:ascii="宋体" w:hAnsi="宋体" w:eastAsia="宋体" w:cs="宋体"/>
                <w:color w:val="auto"/>
                <w:sz w:val="21"/>
                <w:szCs w:val="21"/>
              </w:rPr>
              <w:t>（</w:t>
            </w:r>
            <w:r>
              <w:rPr>
                <w:rFonts w:hint="eastAsia" w:ascii="宋体" w:hAnsi="宋体" w:cs="宋体"/>
                <w:color w:val="auto"/>
                <w:sz w:val="21"/>
                <w:szCs w:val="21"/>
                <w:lang w:eastAsia="zh-CN"/>
              </w:rPr>
              <w:t>库开环评价函〔2021〕7号</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巴州好绿筑科技有限公司</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2021年6月24日</w:t>
            </w:r>
            <w:r>
              <w:rPr>
                <w:rFonts w:hint="eastAsia" w:ascii="宋体" w:hAnsi="宋体" w:eastAsia="宋体" w:cs="宋体"/>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13205"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210" w:firstLineChars="100"/>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验收标准、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标号、级别</w:t>
            </w:r>
          </w:p>
        </w:tc>
        <w:tc>
          <w:tcPr>
            <w:tcW w:w="6909" w:type="dxa"/>
            <w:gridSpan w:val="6"/>
            <w:tcBorders>
              <w:tl2br w:val="nil"/>
              <w:tr2bl w:val="nil"/>
            </w:tcBorders>
            <w:noWrap w:val="0"/>
            <w:vAlign w:val="center"/>
          </w:tcPr>
          <w:p>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1.废气</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b/>
                <w:sz w:val="21"/>
                <w:szCs w:val="21"/>
              </w:rPr>
            </w:pPr>
            <w:r>
              <w:rPr>
                <w:rFonts w:hint="default" w:ascii="Times New Roman" w:hAnsi="Times New Roman" w:cs="Times New Roman"/>
                <w:sz w:val="21"/>
                <w:szCs w:val="21"/>
              </w:rPr>
              <w:t>项目运营期产生的粉尘排放标准执行《水泥工业大气污染物排放标准》（GB4915-2013）表</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中的颗粒物排放限值，即有组织颗粒物</w:t>
            </w:r>
            <w:r>
              <w:rPr>
                <w:rFonts w:hint="eastAsia" w:cs="Times New Roman"/>
                <w:sz w:val="21"/>
                <w:szCs w:val="21"/>
                <w:lang w:val="en-US" w:eastAsia="zh-CN"/>
              </w:rPr>
              <w:t>10</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，无组织颗粒物0.5mg/m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sz w:val="21"/>
                <w:szCs w:val="21"/>
              </w:rPr>
              <w:t>食堂产生的油烟执行《饮食行业油烟排放标准》（试行）(GB18483-2001)中的有关规定，2mg/m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p>
            <w:pPr>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2.废水</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000000"/>
                <w:sz w:val="21"/>
                <w:szCs w:val="21"/>
              </w:rPr>
            </w:pPr>
            <w:r>
              <w:rPr>
                <w:rFonts w:hint="default" w:ascii="Times New Roman" w:hAnsi="Times New Roman" w:cs="Times New Roman"/>
                <w:sz w:val="21"/>
                <w:szCs w:val="21"/>
              </w:rPr>
              <w:t>本项目生产工艺用水全部进入产品，搅拌机清洗废水经污水处理系统泥水分离后全部回用于生产，不排放。项目排放的废水主要为生活污水，经油水分离器、化粪池预处理达到《污水综合排放标准》（GB8978-1996）</w:t>
            </w:r>
            <w:r>
              <w:rPr>
                <w:rFonts w:hint="default" w:ascii="Times New Roman" w:hAnsi="Times New Roman" w:cs="Times New Roman"/>
                <w:kern w:val="0"/>
                <w:sz w:val="21"/>
                <w:szCs w:val="21"/>
              </w:rPr>
              <w:t>三级排放标准</w:t>
            </w:r>
            <w:r>
              <w:rPr>
                <w:rFonts w:hint="default" w:ascii="Times New Roman" w:hAnsi="Times New Roman" w:cs="Times New Roman"/>
                <w:sz w:val="21"/>
                <w:szCs w:val="21"/>
              </w:rPr>
              <w:t>后</w:t>
            </w:r>
            <w:r>
              <w:rPr>
                <w:rFonts w:hint="default" w:ascii="Times New Roman" w:hAnsi="Times New Roman" w:cs="Times New Roman"/>
                <w:sz w:val="21"/>
                <w:szCs w:val="21"/>
                <w:lang w:eastAsia="zh-CN"/>
              </w:rPr>
              <w:t>排放至开发区下水管网，最终排入库尔勒经济技术开发区</w:t>
            </w:r>
            <w:r>
              <w:rPr>
                <w:rFonts w:hint="default" w:ascii="Times New Roman" w:hAnsi="Times New Roman" w:cs="Times New Roman"/>
                <w:sz w:val="21"/>
                <w:szCs w:val="21"/>
              </w:rPr>
              <w:t>污水处理厂。</w:t>
            </w:r>
          </w:p>
          <w:p>
            <w:pPr>
              <w:keepNext w:val="0"/>
              <w:keepLines w:val="0"/>
              <w:suppressLineNumbers w:val="0"/>
              <w:spacing w:before="0" w:beforeAutospacing="0" w:after="0" w:afterAutospacing="0" w:line="360" w:lineRule="auto"/>
              <w:ind w:left="0" w:right="0" w:firstLine="422" w:firstLineChars="200"/>
              <w:jc w:val="left"/>
              <w:rPr>
                <w:rFonts w:hint="default" w:ascii="Times New Roman" w:hAnsi="Times New Roman" w:cs="Times New Roman"/>
                <w:color w:val="000000"/>
                <w:sz w:val="21"/>
                <w:szCs w:val="21"/>
              </w:rPr>
            </w:pPr>
            <w:r>
              <w:rPr>
                <w:rFonts w:hint="default" w:ascii="Times New Roman" w:hAnsi="Times New Roman" w:cs="Times New Roman"/>
                <w:b/>
                <w:color w:val="000000"/>
                <w:sz w:val="21"/>
                <w:szCs w:val="21"/>
              </w:rPr>
              <w:t>3.噪声</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运营期噪声执行《工业企业厂界环境噪声排放标准》（GB12348-2008）</w:t>
            </w:r>
            <w:r>
              <w:rPr>
                <w:rFonts w:hint="default" w:ascii="Times New Roman" w:hAnsi="Times New Roman" w:cs="Times New Roman"/>
                <w:color w:val="000000"/>
                <w:sz w:val="21"/>
                <w:szCs w:val="21"/>
                <w:lang w:val="en-US" w:eastAsia="zh-CN"/>
              </w:rPr>
              <w:t>3</w:t>
            </w:r>
            <w:r>
              <w:rPr>
                <w:rFonts w:hint="default" w:ascii="Times New Roman" w:hAnsi="Times New Roman" w:cs="Times New Roman"/>
                <w:color w:val="000000"/>
                <w:sz w:val="21"/>
                <w:szCs w:val="21"/>
              </w:rPr>
              <w:t>类标准，</w:t>
            </w:r>
            <w:r>
              <w:rPr>
                <w:rFonts w:hint="default" w:ascii="Times New Roman" w:hAnsi="Times New Roman" w:cs="Times New Roman"/>
                <w:kern w:val="0"/>
                <w:sz w:val="21"/>
                <w:szCs w:val="21"/>
              </w:rPr>
              <w:t>即昼间≤6</w:t>
            </w:r>
            <w:r>
              <w:rPr>
                <w:rFonts w:hint="default" w:ascii="Times New Roman" w:hAnsi="Times New Roman" w:cs="Times New Roman"/>
                <w:kern w:val="0"/>
                <w:sz w:val="21"/>
                <w:szCs w:val="21"/>
                <w:lang w:val="en-US" w:eastAsia="zh-CN"/>
              </w:rPr>
              <w:t>5</w:t>
            </w:r>
            <w:r>
              <w:rPr>
                <w:rFonts w:hint="default" w:ascii="Times New Roman" w:hAnsi="Times New Roman" w:cs="Times New Roman"/>
                <w:kern w:val="0"/>
                <w:sz w:val="21"/>
                <w:szCs w:val="21"/>
              </w:rPr>
              <w:t>dB(A)，夜间≤5</w:t>
            </w:r>
            <w:r>
              <w:rPr>
                <w:rFonts w:hint="default" w:ascii="Times New Roman" w:hAnsi="Times New Roman" w:cs="Times New Roman"/>
                <w:kern w:val="0"/>
                <w:sz w:val="21"/>
                <w:szCs w:val="21"/>
                <w:lang w:val="en-US" w:eastAsia="zh-CN"/>
              </w:rPr>
              <w:t>5</w:t>
            </w:r>
            <w:r>
              <w:rPr>
                <w:rFonts w:hint="default" w:ascii="Times New Roman" w:hAnsi="Times New Roman" w:cs="Times New Roman"/>
                <w:kern w:val="0"/>
                <w:sz w:val="21"/>
                <w:szCs w:val="21"/>
              </w:rPr>
              <w:t>dB(A)。</w:t>
            </w:r>
          </w:p>
          <w:p>
            <w:pPr>
              <w:keepNext w:val="0"/>
              <w:keepLines w:val="0"/>
              <w:suppressLineNumbers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r>
              <w:rPr>
                <w:rFonts w:hint="default" w:ascii="Times New Roman" w:hAnsi="Times New Roman" w:cs="Times New Roman"/>
                <w:kern w:val="0"/>
                <w:sz w:val="21"/>
                <w:szCs w:val="21"/>
              </w:rPr>
              <w:t>项目施工期噪声执行《建筑施工场界环境噪声排放标准》（GB12523-2011）标准，即昼间≤70dB(A)，夜间≤55dB(A)。</w:t>
            </w:r>
          </w:p>
          <w:p>
            <w:pPr>
              <w:keepNext w:val="0"/>
              <w:keepLines w:val="0"/>
              <w:suppressLineNumbers w:val="0"/>
              <w:spacing w:before="0" w:beforeAutospacing="0" w:after="0" w:afterAutospacing="0" w:line="360" w:lineRule="auto"/>
              <w:ind w:left="0" w:right="0" w:firstLine="422" w:firstLineChars="200"/>
              <w:jc w:val="left"/>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4.固废</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outlineLvl w:val="9"/>
              <w:rPr>
                <w:rFonts w:hint="eastAsia" w:ascii="宋体" w:hAnsi="宋体" w:eastAsia="宋体" w:cs="宋体"/>
                <w:color w:val="auto"/>
                <w:sz w:val="21"/>
                <w:szCs w:val="21"/>
                <w:lang w:val="en-US" w:eastAsia="zh-CN"/>
              </w:rPr>
            </w:pPr>
            <w:r>
              <w:rPr>
                <w:rFonts w:hint="default" w:ascii="Times New Roman" w:hAnsi="Times New Roman" w:cs="Times New Roman"/>
                <w:color w:val="000000"/>
                <w:sz w:val="21"/>
                <w:szCs w:val="21"/>
              </w:rPr>
              <w:t>本项目固废处置执行《中华人民共和国固体废物污染环境防治法》中的有关规定和《一般工业固体废物贮存和填埋污染控制标准》(GB18599-2020)；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000000" w:sz="6" w:space="0"/>
          </w:tblBorders>
          <w:tblCellMar>
            <w:top w:w="0" w:type="dxa"/>
            <w:left w:w="108" w:type="dxa"/>
            <w:bottom w:w="0" w:type="dxa"/>
            <w:right w:w="108" w:type="dxa"/>
          </w:tblCellMar>
        </w:tblPrEx>
        <w:trPr>
          <w:trHeight w:val="10691" w:hRule="exact"/>
          <w:jc w:val="center"/>
        </w:trPr>
        <w:tc>
          <w:tcPr>
            <w:tcW w:w="15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验收监测</w:t>
            </w:r>
            <w:r>
              <w:rPr>
                <w:rFonts w:hint="eastAsia" w:ascii="宋体" w:hAnsi="宋体" w:eastAsia="宋体" w:cs="宋体"/>
                <w:color w:val="auto"/>
                <w:sz w:val="21"/>
                <w:szCs w:val="21"/>
                <w:lang w:val="en-US" w:eastAsia="zh-CN"/>
              </w:rPr>
              <w:t>标准</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方法</w:t>
            </w:r>
            <w:r>
              <w:rPr>
                <w:rFonts w:hint="eastAsia" w:ascii="宋体" w:hAnsi="宋体" w:eastAsia="宋体" w:cs="宋体"/>
                <w:color w:val="auto"/>
                <w:sz w:val="21"/>
                <w:szCs w:val="21"/>
                <w:lang w:val="en-US" w:eastAsia="zh-CN"/>
              </w:rPr>
              <w:t xml:space="preserve">  标号</w:t>
            </w:r>
          </w:p>
        </w:tc>
        <w:tc>
          <w:tcPr>
            <w:tcW w:w="6909" w:type="dxa"/>
            <w:gridSpan w:val="6"/>
            <w:tcBorders>
              <w:tl2br w:val="nil"/>
              <w:tr2bl w:val="nil"/>
            </w:tcBorders>
            <w:noWrap w:val="0"/>
            <w:vAlign w:val="center"/>
          </w:tcPr>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118"/>
              <w:gridCol w:w="2062"/>
              <w:gridCol w:w="1673"/>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8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类别</w:t>
                  </w:r>
                </w:p>
              </w:tc>
              <w:tc>
                <w:tcPr>
                  <w:tcW w:w="11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w:t>
                  </w:r>
                  <w:r>
                    <w:rPr>
                      <w:rFonts w:hint="eastAsia" w:ascii="宋体" w:hAnsi="宋体" w:eastAsia="宋体" w:cs="宋体"/>
                      <w:color w:val="auto"/>
                      <w:sz w:val="21"/>
                      <w:szCs w:val="21"/>
                      <w:lang w:eastAsia="zh-CN"/>
                    </w:rPr>
                    <w:t>因子</w:t>
                  </w:r>
                </w:p>
              </w:tc>
              <w:tc>
                <w:tcPr>
                  <w:tcW w:w="206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分析方法</w:t>
                  </w:r>
                </w:p>
              </w:tc>
              <w:tc>
                <w:tcPr>
                  <w:tcW w:w="16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分析方法标准（号）或来源</w:t>
                  </w:r>
                </w:p>
              </w:tc>
              <w:tc>
                <w:tcPr>
                  <w:tcW w:w="107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最低检出限值（</w:t>
                  </w:r>
                  <w:r>
                    <w:rPr>
                      <w:rFonts w:hint="eastAsia" w:ascii="宋体" w:hAnsi="宋体" w:eastAsia="宋体" w:cs="宋体"/>
                      <w:color w:val="auto"/>
                      <w:sz w:val="21"/>
                      <w:szCs w:val="21"/>
                      <w:lang w:val="en-US" w:eastAsia="zh-CN"/>
                    </w:rPr>
                    <w:t>mg/</w:t>
                  </w:r>
                  <w:r>
                    <w:rPr>
                      <w:rFonts w:hint="eastAsia" w:ascii="宋体" w:hAnsi="宋体" w:cs="宋体"/>
                      <w:color w:val="auto"/>
                      <w:sz w:val="21"/>
                      <w:szCs w:val="21"/>
                      <w:lang w:val="en-US" w:eastAsia="zh-CN"/>
                    </w:rPr>
                    <w:t>m</w:t>
                  </w:r>
                  <w:r>
                    <w:rPr>
                      <w:rFonts w:hint="eastAsia" w:ascii="宋体" w:hAnsi="宋体" w:cs="宋体"/>
                      <w:color w:val="auto"/>
                      <w:sz w:val="21"/>
                      <w:szCs w:val="21"/>
                      <w:vertAlign w:val="superscript"/>
                      <w:lang w:val="en-US" w:eastAsia="zh-CN"/>
                    </w:rPr>
                    <w:t>3</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7" w:hRule="atLeast"/>
              </w:trPr>
              <w:tc>
                <w:tcPr>
                  <w:tcW w:w="68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有组织废气</w:t>
                  </w:r>
                </w:p>
              </w:tc>
              <w:tc>
                <w:tcPr>
                  <w:tcW w:w="11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sz w:val="21"/>
                      <w:szCs w:val="21"/>
                    </w:rPr>
                    <w:t>颗粒物</w:t>
                  </w:r>
                </w:p>
              </w:tc>
              <w:tc>
                <w:tcPr>
                  <w:tcW w:w="206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固定污染源排气中颗粒物的测定 与气态污染源采用方法</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sz w:val="21"/>
                      <w:szCs w:val="21"/>
                      <w:lang w:val="en-US"/>
                    </w:rPr>
                  </w:pPr>
                  <w:r>
                    <w:rPr>
                      <w:rFonts w:hint="eastAsia" w:ascii="宋体" w:hAnsi="宋体" w:cs="宋体"/>
                      <w:color w:val="auto"/>
                      <w:sz w:val="21"/>
                      <w:szCs w:val="21"/>
                      <w:lang w:val="en-US" w:eastAsia="zh-CN"/>
                    </w:rPr>
                    <w:t>固定污染源废气  低浓度颗粒物的测定  重量法</w:t>
                  </w:r>
                </w:p>
              </w:tc>
              <w:tc>
                <w:tcPr>
                  <w:tcW w:w="16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GB/T 16157-1996 HJ  836-2017</w:t>
                  </w:r>
                </w:p>
              </w:tc>
              <w:tc>
                <w:tcPr>
                  <w:tcW w:w="107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68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 xml:space="preserve">无组织 </w:t>
                  </w:r>
                  <w:r>
                    <w:rPr>
                      <w:rFonts w:hint="eastAsia" w:ascii="宋体" w:hAnsi="宋体" w:eastAsia="宋体" w:cs="宋体"/>
                      <w:color w:val="auto"/>
                      <w:sz w:val="21"/>
                      <w:szCs w:val="21"/>
                      <w:lang w:val="en-US" w:eastAsia="zh-CN"/>
                    </w:rPr>
                    <w:t>废气</w:t>
                  </w:r>
                </w:p>
              </w:tc>
              <w:tc>
                <w:tcPr>
                  <w:tcW w:w="11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颗粒物</w:t>
                  </w:r>
                </w:p>
              </w:tc>
              <w:tc>
                <w:tcPr>
                  <w:tcW w:w="206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sz w:val="21"/>
                      <w:szCs w:val="21"/>
                      <w:highlight w:val="none"/>
                      <w:lang w:eastAsia="zh-CN"/>
                    </w:rPr>
                  </w:pPr>
                  <w:r>
                    <w:rPr>
                      <w:rFonts w:hint="default" w:ascii="宋体" w:hAnsi="宋体" w:eastAsia="宋体" w:cs="宋体"/>
                      <w:b w:val="0"/>
                      <w:bCs/>
                      <w:kern w:val="0"/>
                      <w:sz w:val="21"/>
                      <w:szCs w:val="21"/>
                      <w:vertAlign w:val="baseline"/>
                      <w:lang w:val="en-US" w:eastAsia="zh-CN"/>
                    </w:rPr>
                    <w:t>环境空气 总悬浮颗粒的测定 重量法</w:t>
                  </w:r>
                </w:p>
              </w:tc>
              <w:tc>
                <w:tcPr>
                  <w:tcW w:w="16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b w:val="0"/>
                      <w:bCs/>
                      <w:kern w:val="0"/>
                      <w:sz w:val="21"/>
                      <w:szCs w:val="21"/>
                      <w:vertAlign w:val="baseline"/>
                      <w:lang w:val="en-US" w:eastAsia="zh-CN"/>
                    </w:rPr>
                    <w:t>GB/T</w:t>
                  </w:r>
                  <w:r>
                    <w:rPr>
                      <w:rFonts w:hint="eastAsia" w:ascii="宋体" w:hAnsi="宋体" w:eastAsia="宋体" w:cs="宋体"/>
                      <w:b w:val="0"/>
                      <w:bCs/>
                      <w:kern w:val="0"/>
                      <w:sz w:val="21"/>
                      <w:szCs w:val="21"/>
                      <w:vertAlign w:val="baseline"/>
                      <w:lang w:val="en-US" w:eastAsia="zh-CN"/>
                    </w:rPr>
                    <w:t xml:space="preserve"> </w:t>
                  </w:r>
                  <w:r>
                    <w:rPr>
                      <w:rFonts w:hint="default" w:ascii="宋体" w:hAnsi="宋体" w:eastAsia="宋体" w:cs="宋体"/>
                      <w:b w:val="0"/>
                      <w:bCs/>
                      <w:kern w:val="0"/>
                      <w:sz w:val="21"/>
                      <w:szCs w:val="21"/>
                      <w:vertAlign w:val="baseline"/>
                      <w:lang w:val="en-US" w:eastAsia="zh-CN"/>
                    </w:rPr>
                    <w:t>15432-1995</w:t>
                  </w:r>
                </w:p>
              </w:tc>
              <w:tc>
                <w:tcPr>
                  <w:tcW w:w="107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68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噪声</w:t>
                  </w:r>
                </w:p>
              </w:tc>
              <w:tc>
                <w:tcPr>
                  <w:tcW w:w="1118"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厂界环境</w:t>
                  </w:r>
                  <w:r>
                    <w:rPr>
                      <w:rFonts w:hint="eastAsia" w:ascii="宋体" w:hAnsi="宋体" w:eastAsia="宋体" w:cs="宋体"/>
                      <w:color w:val="auto"/>
                      <w:sz w:val="21"/>
                      <w:szCs w:val="21"/>
                    </w:rPr>
                    <w:t>噪声</w:t>
                  </w:r>
                </w:p>
              </w:tc>
              <w:tc>
                <w:tcPr>
                  <w:tcW w:w="206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工业企业厂界噪声测量方法</w:t>
                  </w:r>
                </w:p>
              </w:tc>
              <w:tc>
                <w:tcPr>
                  <w:tcW w:w="167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GB12348-2008</w:t>
                  </w:r>
                </w:p>
              </w:tc>
              <w:tc>
                <w:tcPr>
                  <w:tcW w:w="107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bidi w:val="0"/>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tc>
      </w:tr>
    </w:tbl>
    <w:p>
      <w:pPr>
        <w:bidi w:val="0"/>
        <w:rPr>
          <w:rFonts w:hint="eastAsia" w:ascii="宋体" w:hAnsi="宋体" w:eastAsia="宋体" w:cs="宋体"/>
          <w:color w:val="auto"/>
          <w:lang w:val="en-US" w:eastAsia="zh-CN"/>
        </w:rPr>
      </w:pPr>
    </w:p>
    <w:p>
      <w:pPr>
        <w:pStyle w:val="5"/>
        <w:bidi w:val="0"/>
        <w:rPr>
          <w:rFonts w:hint="eastAsia" w:ascii="宋体" w:hAnsi="宋体" w:eastAsia="宋体" w:cs="宋体"/>
          <w:color w:val="auto"/>
          <w:lang w:val="en-US" w:eastAsia="zh-CN"/>
        </w:rPr>
      </w:pPr>
      <w:bookmarkStart w:id="9" w:name="_Toc20874"/>
      <w:r>
        <w:rPr>
          <w:rFonts w:hint="eastAsia" w:ascii="宋体" w:hAnsi="宋体" w:eastAsia="宋体" w:cs="宋体"/>
          <w:color w:val="auto"/>
          <w:lang w:val="en-US" w:eastAsia="zh-CN"/>
        </w:rPr>
        <w:t>表二 建设项目工程</w:t>
      </w:r>
      <w:bookmarkEnd w:id="9"/>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8892" w:type="dxa"/>
            <w:noWrap w:val="0"/>
            <w:vAlign w:val="top"/>
          </w:tcPr>
          <w:p>
            <w:pPr>
              <w:pStyle w:val="6"/>
              <w:widowControl w:val="0"/>
              <w:bidi w:val="0"/>
              <w:rPr>
                <w:rFonts w:hint="eastAsia" w:ascii="宋体" w:hAnsi="宋体" w:eastAsia="宋体" w:cs="宋体"/>
                <w:color w:val="auto"/>
                <w:lang w:eastAsia="zh-CN"/>
              </w:rPr>
            </w:pPr>
            <w:bookmarkStart w:id="10" w:name="_Toc30767"/>
            <w:bookmarkStart w:id="11" w:name="_Toc13026"/>
            <w:r>
              <w:rPr>
                <w:rFonts w:hint="eastAsia" w:ascii="宋体" w:hAnsi="宋体" w:eastAsia="宋体" w:cs="宋体"/>
                <w:color w:val="auto"/>
                <w:lang w:val="en-US" w:eastAsia="zh-CN"/>
              </w:rPr>
              <w:t>2.1</w:t>
            </w:r>
            <w:r>
              <w:rPr>
                <w:rFonts w:hint="eastAsia" w:ascii="宋体" w:hAnsi="宋体" w:eastAsia="宋体" w:cs="宋体"/>
                <w:color w:val="auto"/>
              </w:rPr>
              <w:t>建设项目</w:t>
            </w:r>
            <w:r>
              <w:rPr>
                <w:rFonts w:hint="eastAsia" w:ascii="宋体" w:hAnsi="宋体" w:eastAsia="宋体" w:cs="宋体"/>
                <w:color w:val="auto"/>
                <w:lang w:eastAsia="zh-CN"/>
              </w:rPr>
              <w:t>地理位置</w:t>
            </w:r>
            <w:bookmarkEnd w:id="10"/>
          </w:p>
          <w:p>
            <w:pPr>
              <w:keepNext w:val="0"/>
              <w:keepLines w:val="0"/>
              <w:suppressLineNumbers w:val="0"/>
              <w:adjustRightIn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sz w:val="24"/>
                <w:lang w:eastAsia="zh-CN"/>
              </w:rPr>
            </w:pPr>
            <w:r>
              <w:rPr>
                <w:rFonts w:hint="default" w:ascii="Times New Roman" w:hAnsi="Times New Roman" w:eastAsia="宋体" w:cs="Times New Roman"/>
                <w:sz w:val="24"/>
                <w:szCs w:val="24"/>
                <w:lang w:val="en-US" w:eastAsia="zh-CN"/>
              </w:rPr>
              <w:t>本项目位于开发区康盛路西侧，项目中心地理坐标东经86°11'53.28"，北纬41°94'24.42"</w:t>
            </w:r>
            <w:r>
              <w:rPr>
                <w:rFonts w:hint="eastAsia" w:cs="Times New Roman"/>
                <w:sz w:val="24"/>
                <w:szCs w:val="24"/>
                <w:lang w:val="en-US" w:eastAsia="zh-CN"/>
              </w:rPr>
              <w:t>，</w:t>
            </w:r>
            <w:r>
              <w:rPr>
                <w:rFonts w:hint="default" w:ascii="Times New Roman" w:hAnsi="Times New Roman" w:cs="Times New Roman"/>
                <w:sz w:val="24"/>
              </w:rPr>
              <w:t>项目总占地面积</w:t>
            </w:r>
            <w:r>
              <w:rPr>
                <w:rFonts w:hint="default" w:ascii="Times New Roman" w:hAnsi="Times New Roman" w:cs="Times New Roman"/>
                <w:sz w:val="24"/>
                <w:lang w:eastAsia="zh-CN"/>
              </w:rPr>
              <w:t>140928.01</w:t>
            </w:r>
            <w:r>
              <w:rPr>
                <w:rFonts w:hint="default" w:ascii="Times New Roman" w:hAnsi="Times New Roman" w:cs="Times New Roman"/>
                <w:sz w:val="24"/>
              </w:rPr>
              <w:t>m</w:t>
            </w:r>
            <w:r>
              <w:rPr>
                <w:rFonts w:hint="default" w:ascii="Times New Roman" w:hAnsi="Times New Roman" w:cs="Times New Roman"/>
                <w:sz w:val="24"/>
                <w:vertAlign w:val="superscript"/>
              </w:rPr>
              <w:t>2</w:t>
            </w:r>
            <w:r>
              <w:rPr>
                <w:rFonts w:hint="default" w:ascii="Times New Roman" w:hAnsi="Times New Roman" w:cs="Times New Roman"/>
                <w:sz w:val="24"/>
                <w:vertAlign w:val="baseline"/>
                <w:lang w:eastAsia="zh-CN"/>
              </w:rPr>
              <w:t>。</w:t>
            </w:r>
            <w:r>
              <w:rPr>
                <w:rFonts w:hint="default" w:ascii="Times New Roman" w:hAnsi="Times New Roman" w:cs="Times New Roman"/>
                <w:sz w:val="24"/>
              </w:rPr>
              <w:t>厂区平面布置基本原则主要是根据生产的工艺流程、建筑防火、安全、卫生、环境保护节约用地、减少工程投资等要求，结合厂区地形、地质、水文、气象等自然条件。厂区总体呈</w:t>
            </w:r>
            <w:r>
              <w:rPr>
                <w:rFonts w:hint="default" w:ascii="Times New Roman" w:hAnsi="Times New Roman" w:cs="Times New Roman"/>
                <w:sz w:val="24"/>
                <w:lang w:eastAsia="zh-CN"/>
              </w:rPr>
              <w:t>多边形</w:t>
            </w:r>
            <w:r>
              <w:rPr>
                <w:rFonts w:hint="default" w:ascii="Times New Roman" w:hAnsi="Times New Roman" w:cs="Times New Roman"/>
                <w:sz w:val="24"/>
              </w:rPr>
              <w:t>，其中</w:t>
            </w:r>
            <w:r>
              <w:rPr>
                <w:rFonts w:hint="default" w:ascii="Times New Roman" w:hAnsi="Times New Roman" w:cs="Times New Roman"/>
                <w:color w:val="auto"/>
                <w:sz w:val="24"/>
              </w:rPr>
              <w:t>主次出入口位于项目区南侧，门卫室位于主出入口东侧，原料仓位于项目区北侧，项目搅拌车间位于项目区东北侧，与原料仓平齐；</w:t>
            </w:r>
            <w:r>
              <w:rPr>
                <w:rFonts w:hint="default" w:ascii="Times New Roman" w:hAnsi="Times New Roman" w:cs="Times New Roman"/>
                <w:color w:val="auto"/>
                <w:sz w:val="24"/>
                <w:lang w:val="en-US" w:eastAsia="zh-CN"/>
              </w:rPr>
              <w:t>1#综合楼位于项目区西南侧，</w:t>
            </w:r>
            <w:r>
              <w:rPr>
                <w:rFonts w:hint="default" w:ascii="Times New Roman" w:hAnsi="Times New Roman" w:cs="Times New Roman"/>
                <w:color w:val="auto"/>
                <w:sz w:val="24"/>
              </w:rPr>
              <w:t>1#厂房位于项目区东南侧，</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#办公楼位于项目区南侧，</w:t>
            </w:r>
            <w:r>
              <w:rPr>
                <w:rFonts w:hint="default" w:ascii="Times New Roman" w:hAnsi="Times New Roman" w:cs="Times New Roman"/>
                <w:color w:val="auto"/>
                <w:sz w:val="24"/>
                <w:lang w:val="en-US" w:eastAsia="zh-CN"/>
              </w:rPr>
              <w:t>3#办公楼位于项目区北侧</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3#厂房位于项目区东北角；</w:t>
            </w:r>
            <w:r>
              <w:rPr>
                <w:rFonts w:hint="default" w:ascii="Times New Roman" w:hAnsi="Times New Roman" w:cs="Times New Roman"/>
                <w:color w:val="auto"/>
                <w:sz w:val="24"/>
              </w:rPr>
              <w:t>大型停车场位于项目区西侧，综合楼位于大型停车场南侧</w:t>
            </w:r>
            <w:r>
              <w:rPr>
                <w:rFonts w:hint="default" w:ascii="Times New Roman" w:hAnsi="Times New Roman" w:cs="Times New Roman"/>
                <w:color w:val="auto"/>
                <w:sz w:val="24"/>
                <w:lang w:eastAsia="zh-CN"/>
              </w:rPr>
              <w:t>。</w:t>
            </w:r>
          </w:p>
          <w:p>
            <w:pPr>
              <w:widowControl w:val="0"/>
              <w:bidi w:val="0"/>
              <w:ind w:firstLine="422" w:firstLineChars="200"/>
              <w:rPr>
                <w:rFonts w:hint="default" w:ascii="Times New Roman" w:hAnsi="Times New Roman" w:eastAsia="宋体" w:cs="Times New Roman"/>
                <w:b/>
                <w:bCs/>
                <w:color w:val="auto"/>
                <w:sz w:val="21"/>
                <w:szCs w:val="21"/>
                <w:lang w:val="en-US"/>
              </w:rPr>
            </w:pPr>
          </w:p>
          <w:bookmarkEnd w:id="11"/>
          <w:p>
            <w:pPr>
              <w:pStyle w:val="6"/>
              <w:widowControl w:val="0"/>
              <w:bidi w:val="0"/>
              <w:rPr>
                <w:rFonts w:hint="eastAsia" w:ascii="宋体" w:hAnsi="宋体" w:eastAsia="宋体" w:cs="宋体"/>
                <w:color w:val="auto"/>
                <w:lang w:eastAsia="zh-CN"/>
              </w:rPr>
            </w:pPr>
            <w:bookmarkStart w:id="12" w:name="_Toc21623"/>
            <w:bookmarkStart w:id="13" w:name="_Toc23522"/>
            <w:r>
              <w:rPr>
                <w:rFonts w:hint="eastAsia" w:ascii="宋体" w:hAnsi="宋体" w:eastAsia="宋体" w:cs="宋体"/>
                <w:color w:val="auto"/>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rPr>
              <w:t>主要建设内容</w:t>
            </w:r>
            <w:bookmarkEnd w:id="12"/>
            <w:r>
              <w:rPr>
                <w:rFonts w:hint="eastAsia" w:ascii="宋体" w:hAnsi="宋体" w:eastAsia="宋体" w:cs="宋体"/>
                <w:color w:val="auto"/>
                <w:lang w:eastAsia="zh-CN"/>
              </w:rPr>
              <w:t>及生产规模</w:t>
            </w:r>
            <w:bookmarkEnd w:id="13"/>
          </w:p>
          <w:p>
            <w:pPr>
              <w:widowControl w:val="0"/>
              <w:bidi w:val="0"/>
              <w:rPr>
                <w:rFonts w:hint="eastAsia" w:ascii="宋体" w:hAnsi="宋体" w:eastAsia="宋体" w:cs="宋体"/>
                <w:color w:val="auto"/>
                <w:sz w:val="24"/>
                <w:szCs w:val="24"/>
                <w:lang w:val="en-US" w:eastAsia="zh-CN"/>
              </w:rPr>
            </w:pPr>
            <w:r>
              <w:rPr>
                <w:rFonts w:hint="eastAsia" w:ascii="宋体" w:hAnsi="宋体" w:eastAsia="宋体" w:cs="宋体"/>
                <w:color w:val="auto"/>
                <w:lang w:eastAsia="zh-CN"/>
              </w:rPr>
              <w:t>建设内容：</w:t>
            </w:r>
            <w:r>
              <w:rPr>
                <w:rFonts w:hint="eastAsia" w:ascii="宋体" w:hAnsi="宋体" w:eastAsia="宋体" w:cs="宋体"/>
                <w:color w:val="auto"/>
                <w:sz w:val="24"/>
                <w:szCs w:val="24"/>
                <w:lang w:val="en-US" w:eastAsia="zh-CN"/>
              </w:rPr>
              <w:t xml:space="preserve"> </w:t>
            </w:r>
          </w:p>
          <w:p>
            <w:pPr>
              <w:widowControl w:val="0"/>
              <w:numPr>
                <w:ilvl w:val="0"/>
                <w:numId w:val="0"/>
              </w:numPr>
              <w:bidi w:val="0"/>
              <w:ind w:firstLine="480" w:firstLineChars="200"/>
              <w:rPr>
                <w:rFonts w:hint="eastAsia" w:ascii="宋体" w:hAnsi="宋体" w:eastAsia="宋体" w:cs="宋体"/>
                <w:b/>
                <w:bCs/>
                <w:color w:val="auto"/>
                <w:lang w:val="en-US" w:eastAsia="zh-CN"/>
              </w:rPr>
            </w:pPr>
            <w:r>
              <w:rPr>
                <w:rFonts w:hint="default" w:ascii="Times New Roman" w:hAnsi="Times New Roman" w:cs="Times New Roman"/>
                <w:color w:val="auto"/>
                <w:sz w:val="24"/>
              </w:rPr>
              <w:t>本项目总占地面积</w:t>
            </w:r>
            <w:r>
              <w:rPr>
                <w:rFonts w:hint="default" w:ascii="Times New Roman" w:hAnsi="Times New Roman" w:cs="Times New Roman"/>
                <w:color w:val="auto"/>
                <w:sz w:val="24"/>
                <w:lang w:val="en-US" w:eastAsia="zh-CN"/>
              </w:rPr>
              <w:t>140928.01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default" w:ascii="Times New Roman" w:hAnsi="Times New Roman" w:cs="Times New Roman"/>
                <w:color w:val="000000"/>
                <w:sz w:val="24"/>
              </w:rPr>
              <w:t>新建</w:t>
            </w:r>
            <w:r>
              <w:rPr>
                <w:rFonts w:hint="default" w:ascii="Times New Roman" w:hAnsi="Times New Roman" w:cs="Times New Roman"/>
                <w:color w:val="000000"/>
                <w:sz w:val="24"/>
                <w:lang w:eastAsia="zh-CN"/>
              </w:rPr>
              <w:t>1#厂房、</w:t>
            </w:r>
            <w:r>
              <w:rPr>
                <w:rFonts w:hint="default" w:ascii="Times New Roman" w:hAnsi="Times New Roman" w:cs="Times New Roman"/>
                <w:color w:val="000000"/>
                <w:sz w:val="24"/>
                <w:lang w:val="en-US" w:eastAsia="zh-CN"/>
              </w:rPr>
              <w:t>2#厂房、3#厂房、4#地磅房、</w:t>
            </w:r>
            <w:r>
              <w:rPr>
                <w:rFonts w:hint="default" w:ascii="Times New Roman" w:hAnsi="Times New Roman" w:cs="Times New Roman"/>
                <w:color w:val="000000"/>
                <w:sz w:val="24"/>
                <w:lang w:eastAsia="zh-CN"/>
              </w:rPr>
              <w:t>搅拌车间、</w:t>
            </w:r>
            <w:r>
              <w:rPr>
                <w:rFonts w:hint="default" w:ascii="Times New Roman" w:hAnsi="Times New Roman" w:cs="Times New Roman"/>
                <w:color w:val="000000"/>
                <w:sz w:val="24"/>
                <w:lang w:val="en-US" w:eastAsia="zh-CN"/>
              </w:rPr>
              <w:t>1#</w:t>
            </w:r>
            <w:r>
              <w:rPr>
                <w:rFonts w:hint="default" w:ascii="Times New Roman" w:hAnsi="Times New Roman" w:cs="Times New Roman"/>
                <w:color w:val="000000"/>
                <w:sz w:val="24"/>
                <w:lang w:eastAsia="zh-CN"/>
              </w:rPr>
              <w:t>原料仓、</w:t>
            </w:r>
            <w:r>
              <w:rPr>
                <w:rFonts w:hint="eastAsia" w:cs="Times New Roman"/>
                <w:color w:val="000000"/>
                <w:sz w:val="24"/>
                <w:lang w:val="en-US" w:eastAsia="zh-CN"/>
              </w:rPr>
              <w:t>2#原料仓、</w:t>
            </w:r>
            <w:r>
              <w:rPr>
                <w:rFonts w:hint="default" w:ascii="Times New Roman" w:hAnsi="Times New Roman" w:cs="Times New Roman"/>
                <w:color w:val="000000"/>
                <w:sz w:val="24"/>
                <w:lang w:eastAsia="zh-CN"/>
              </w:rPr>
              <w:t>2#办公楼、</w:t>
            </w:r>
            <w:r>
              <w:rPr>
                <w:rFonts w:hint="default" w:ascii="Times New Roman" w:hAnsi="Times New Roman" w:cs="Times New Roman"/>
                <w:color w:val="000000"/>
                <w:sz w:val="24"/>
                <w:lang w:val="en-US" w:eastAsia="zh-CN"/>
              </w:rPr>
              <w:t>3</w:t>
            </w:r>
            <w:r>
              <w:rPr>
                <w:rFonts w:hint="default" w:ascii="Times New Roman" w:hAnsi="Times New Roman" w:cs="Times New Roman"/>
                <w:color w:val="000000"/>
                <w:sz w:val="24"/>
                <w:lang w:eastAsia="zh-CN"/>
              </w:rPr>
              <w:t>#办公楼、配电室</w:t>
            </w:r>
            <w:r>
              <w:rPr>
                <w:rFonts w:hint="default" w:ascii="Times New Roman" w:hAnsi="Times New Roman" w:cs="Times New Roman"/>
                <w:color w:val="000000"/>
                <w:sz w:val="24"/>
                <w:lang w:val="en-US" w:eastAsia="zh-CN"/>
              </w:rPr>
              <w:t>3个</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1#</w:t>
            </w:r>
            <w:r>
              <w:rPr>
                <w:rFonts w:hint="default" w:ascii="Times New Roman" w:hAnsi="Times New Roman" w:cs="Times New Roman"/>
                <w:color w:val="000000"/>
                <w:sz w:val="24"/>
                <w:lang w:eastAsia="zh-CN"/>
              </w:rPr>
              <w:t>综合楼、门卫室、堆场、道路、绿化、停车场、人员集散中心活动场地等公用工</w:t>
            </w:r>
            <w:r>
              <w:rPr>
                <w:rFonts w:hint="default" w:ascii="Times New Roman" w:hAnsi="Times New Roman" w:cs="Times New Roman"/>
                <w:color w:val="auto"/>
                <w:sz w:val="24"/>
                <w:lang w:eastAsia="zh-CN"/>
              </w:rPr>
              <w:t>程</w:t>
            </w:r>
            <w:r>
              <w:rPr>
                <w:rFonts w:hint="default" w:ascii="Times New Roman" w:hAnsi="Times New Roman" w:cs="Times New Roman"/>
                <w:color w:val="auto"/>
                <w:sz w:val="24"/>
              </w:rPr>
              <w:t>，年生产</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rPr>
              <w:t>万m</w:t>
            </w:r>
            <w:r>
              <w:rPr>
                <w:rFonts w:hint="default" w:ascii="Times New Roman" w:hAnsi="Times New Roman" w:cs="Times New Roman"/>
                <w:color w:val="auto"/>
                <w:sz w:val="24"/>
                <w:vertAlign w:val="superscript"/>
              </w:rPr>
              <w:t>2</w:t>
            </w:r>
            <w:r>
              <w:rPr>
                <w:rFonts w:hint="eastAsia" w:cs="Times New Roman"/>
                <w:color w:val="auto"/>
                <w:sz w:val="24"/>
                <w:lang w:eastAsia="zh-CN"/>
              </w:rPr>
              <w:t>免拆模板复合保温墙板</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40</w:t>
            </w:r>
            <w:r>
              <w:rPr>
                <w:rFonts w:hint="default" w:ascii="Times New Roman" w:hAnsi="Times New Roman" w:cs="Times New Roman"/>
                <w:color w:val="auto"/>
                <w:sz w:val="24"/>
              </w:rPr>
              <w:t>万m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lang w:eastAsia="zh-CN"/>
              </w:rPr>
              <w:t>叠合楼板</w:t>
            </w:r>
            <w:r>
              <w:rPr>
                <w:rFonts w:hint="eastAsia" w:cs="Times New Roman"/>
                <w:color w:val="auto"/>
                <w:sz w:val="24"/>
                <w:lang w:eastAsia="zh-CN"/>
              </w:rPr>
              <w:t>、</w:t>
            </w:r>
            <w:r>
              <w:rPr>
                <w:rFonts w:hint="eastAsia" w:cs="Times New Roman"/>
                <w:color w:val="auto"/>
                <w:sz w:val="24"/>
                <w:lang w:val="en-US" w:eastAsia="zh-CN"/>
              </w:rPr>
              <w:t>PC构件3.5万t、混凝土5万m</w:t>
            </w:r>
            <w:r>
              <w:rPr>
                <w:rFonts w:hint="eastAsia" w:cs="Times New Roman"/>
                <w:color w:val="auto"/>
                <w:sz w:val="24"/>
                <w:vertAlign w:val="superscript"/>
                <w:lang w:val="en-US" w:eastAsia="zh-CN"/>
              </w:rPr>
              <w:t>2</w:t>
            </w:r>
            <w:r>
              <w:rPr>
                <w:rFonts w:hint="default" w:ascii="Times New Roman" w:hAnsi="Times New Roman" w:cs="Times New Roman"/>
                <w:color w:val="auto"/>
                <w:sz w:val="24"/>
              </w:rPr>
              <w:t>。</w:t>
            </w:r>
            <w:r>
              <w:rPr>
                <w:rFonts w:hint="eastAsia" w:ascii="宋体" w:hAnsi="宋体" w:eastAsia="宋体" w:cs="宋体"/>
                <w:color w:val="auto"/>
                <w:sz w:val="24"/>
                <w:szCs w:val="24"/>
                <w:lang w:eastAsia="zh-CN"/>
              </w:rPr>
              <w:t>工程主要由主体工程、储运工程、辅助工程、公用工程以及环保工程组成。</w:t>
            </w:r>
            <w:r>
              <w:rPr>
                <w:rFonts w:hint="eastAsia" w:ascii="宋体" w:hAnsi="宋体" w:eastAsia="宋体" w:cs="宋体"/>
                <w:color w:val="auto"/>
                <w:sz w:val="24"/>
                <w:szCs w:val="24"/>
              </w:rPr>
              <w:t>项目主要建设内容见表</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1。</w:t>
            </w:r>
            <w:bookmarkStart w:id="150" w:name="_GoBack"/>
            <w:bookmarkEnd w:id="150"/>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lang w:val="en-US" w:eastAsia="zh-CN"/>
              </w:rPr>
            </w:pPr>
            <w:r>
              <w:rPr>
                <w:rFonts w:hint="eastAsia" w:ascii="宋体" w:hAnsi="宋体" w:eastAsia="宋体" w:cs="宋体"/>
                <w:b/>
                <w:bCs/>
                <w:color w:val="auto"/>
                <w:lang w:val="en-US" w:eastAsia="zh-CN"/>
              </w:rPr>
              <w:t>表2-1  工程建设内容及规模</w:t>
            </w:r>
          </w:p>
          <w:tbl>
            <w:tblPr>
              <w:tblStyle w:val="23"/>
              <w:tblW w:w="49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155"/>
              <w:gridCol w:w="3103"/>
              <w:gridCol w:w="1327"/>
              <w:gridCol w:w="22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483"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b/>
                      <w:sz w:val="21"/>
                      <w:szCs w:val="21"/>
                    </w:rPr>
                  </w:pPr>
                  <w:bookmarkStart w:id="14" w:name="bookmark16"/>
                  <w:bookmarkEnd w:id="14"/>
                  <w:bookmarkStart w:id="15" w:name="_Toc9428"/>
                  <w:r>
                    <w:rPr>
                      <w:rFonts w:hint="default" w:ascii="Times New Roman" w:hAnsi="Times New Roman" w:cs="Times New Roman"/>
                      <w:b/>
                      <w:sz w:val="21"/>
                      <w:szCs w:val="21"/>
                    </w:rPr>
                    <w:t>项目类别</w:t>
                  </w: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b/>
                      <w:sz w:val="21"/>
                      <w:szCs w:val="21"/>
                    </w:rPr>
                  </w:pPr>
                  <w:r>
                    <w:rPr>
                      <w:rFonts w:hint="default" w:ascii="Times New Roman" w:hAnsi="Times New Roman" w:cs="Times New Roman"/>
                      <w:b/>
                      <w:sz w:val="21"/>
                      <w:szCs w:val="21"/>
                    </w:rPr>
                    <w:t>项目名称</w:t>
                  </w:r>
                </w:p>
              </w:tc>
              <w:tc>
                <w:tcPr>
                  <w:tcW w:w="1798"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b/>
                      <w:sz w:val="21"/>
                      <w:szCs w:val="21"/>
                    </w:rPr>
                  </w:pPr>
                  <w:r>
                    <w:rPr>
                      <w:rFonts w:hint="eastAsia" w:cs="Times New Roman"/>
                      <w:b/>
                      <w:sz w:val="21"/>
                      <w:szCs w:val="21"/>
                      <w:lang w:val="en-US" w:eastAsia="zh-CN"/>
                    </w:rPr>
                    <w:t>环评设计</w:t>
                  </w:r>
                  <w:r>
                    <w:rPr>
                      <w:rFonts w:hint="default" w:ascii="Times New Roman" w:hAnsi="Times New Roman" w:cs="Times New Roman"/>
                      <w:b/>
                      <w:sz w:val="21"/>
                      <w:szCs w:val="21"/>
                    </w:rPr>
                    <w:t>建设内容</w:t>
                  </w:r>
                </w:p>
              </w:tc>
              <w:tc>
                <w:tcPr>
                  <w:tcW w:w="7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eastAsia="宋体" w:cs="Times New Roman"/>
                      <w:b/>
                      <w:sz w:val="21"/>
                      <w:szCs w:val="21"/>
                      <w:lang w:val="en-US" w:eastAsia="zh-CN"/>
                    </w:rPr>
                  </w:pPr>
                  <w:r>
                    <w:rPr>
                      <w:rFonts w:hint="eastAsia" w:cs="Times New Roman"/>
                      <w:b/>
                      <w:sz w:val="21"/>
                      <w:szCs w:val="21"/>
                      <w:lang w:val="en-US" w:eastAsia="zh-CN"/>
                    </w:rPr>
                    <w:t>实际建设内容</w:t>
                  </w:r>
                </w:p>
              </w:tc>
              <w:tc>
                <w:tcPr>
                  <w:tcW w:w="1279" w:type="pct"/>
                  <w:noWrap w:val="0"/>
                  <w:vAlign w:val="center"/>
                </w:tcPr>
                <w:p>
                  <w:pPr>
                    <w:pStyle w:val="56"/>
                    <w:keepNext w:val="0"/>
                    <w:keepLines w:val="0"/>
                    <w:suppressLineNumbers w:val="0"/>
                    <w:spacing w:before="0" w:beforeAutospacing="0" w:after="0" w:afterAutospacing="0"/>
                    <w:ind w:left="0" w:right="0"/>
                    <w:jc w:val="both"/>
                    <w:rPr>
                      <w:rFonts w:hint="default" w:ascii="Times New Roman" w:hAnsi="Times New Roman" w:eastAsia="宋体" w:cs="Times New Roman"/>
                      <w:b/>
                      <w:sz w:val="21"/>
                      <w:szCs w:val="21"/>
                      <w:lang w:val="en-US" w:eastAsia="zh-CN"/>
                    </w:rPr>
                  </w:pPr>
                  <w:r>
                    <w:rPr>
                      <w:rFonts w:hint="eastAsia" w:cs="Times New Roman"/>
                      <w:b/>
                      <w:sz w:val="21"/>
                      <w:szCs w:val="21"/>
                      <w:lang w:val="en-US" w:eastAsia="zh-CN"/>
                    </w:rPr>
                    <w:t>是否与环评一致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483" w:type="pct"/>
                  <w:vMerge w:val="restar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0"/>
                      <w:sz w:val="21"/>
                      <w:szCs w:val="21"/>
                    </w:rPr>
                    <w:t>1#厂房</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钢结构，建筑面积为</w:t>
                  </w:r>
                  <w:r>
                    <w:rPr>
                      <w:rFonts w:hint="default" w:ascii="Times New Roman" w:hAnsi="Times New Roman" w:cs="Times New Roman"/>
                      <w:kern w:val="2"/>
                      <w:sz w:val="21"/>
                      <w:szCs w:val="21"/>
                      <w:lang w:val="en-US" w:eastAsia="zh-CN" w:bidi="ar"/>
                    </w:rPr>
                    <w:t>36700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r>
                    <w:rPr>
                      <w:rFonts w:hint="eastAsia" w:cs="Times New Roman"/>
                      <w:kern w:val="2"/>
                      <w:sz w:val="21"/>
                      <w:szCs w:val="21"/>
                      <w:vertAlign w:val="baseline"/>
                      <w:lang w:val="en-US" w:eastAsia="zh-CN" w:bidi="ar"/>
                    </w:rPr>
                    <w:t>，生产PC构件和叠合楼板</w:t>
                  </w:r>
                </w:p>
              </w:tc>
              <w:tc>
                <w:tcPr>
                  <w:tcW w:w="7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kern w:val="0"/>
                      <w:sz w:val="21"/>
                      <w:szCs w:val="21"/>
                    </w:rPr>
                    <w:t>新建</w:t>
                  </w:r>
                </w:p>
              </w:tc>
              <w:tc>
                <w:tcPr>
                  <w:tcW w:w="127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暂未建成，不在本次验收范围内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0"/>
                      <w:sz w:val="21"/>
                      <w:szCs w:val="21"/>
                    </w:rPr>
                    <w:t>2#厂房</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sz w:val="21"/>
                      <w:szCs w:val="21"/>
                      <w:lang w:val="en-US"/>
                    </w:rPr>
                  </w:pPr>
                  <w:r>
                    <w:rPr>
                      <w:rFonts w:hint="default" w:ascii="Times New Roman" w:hAnsi="Times New Roman" w:eastAsia="宋体" w:cs="Times New Roman"/>
                      <w:kern w:val="2"/>
                      <w:sz w:val="21"/>
                      <w:szCs w:val="21"/>
                      <w:lang w:val="en-US" w:eastAsia="zh-CN" w:bidi="ar"/>
                    </w:rPr>
                    <w:t>钢结构，建筑面积为</w:t>
                  </w:r>
                  <w:r>
                    <w:rPr>
                      <w:rFonts w:hint="default" w:ascii="Times New Roman" w:hAnsi="Times New Roman" w:cs="Times New Roman"/>
                      <w:kern w:val="2"/>
                      <w:sz w:val="21"/>
                      <w:szCs w:val="21"/>
                      <w:lang w:val="en-US" w:eastAsia="zh-CN" w:bidi="ar"/>
                    </w:rPr>
                    <w:t>2650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r>
                    <w:rPr>
                      <w:rFonts w:hint="eastAsia" w:cs="Times New Roman"/>
                      <w:kern w:val="2"/>
                      <w:sz w:val="21"/>
                      <w:szCs w:val="21"/>
                      <w:vertAlign w:val="baseline"/>
                      <w:lang w:val="en-US" w:eastAsia="zh-CN" w:bidi="ar"/>
                    </w:rPr>
                    <w:t>，生产免拆模板复合保温墙板</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eastAsia" w:cs="Times New Roman"/>
                      <w:kern w:val="0"/>
                      <w:sz w:val="21"/>
                      <w:szCs w:val="21"/>
                      <w:lang w:val="en-US" w:eastAsia="zh-CN"/>
                    </w:rPr>
                    <w:t>暂未建成，不在本次验收范围内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3#厂房</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钢结构，建筑面积为</w:t>
                  </w:r>
                  <w:r>
                    <w:rPr>
                      <w:rFonts w:hint="default" w:ascii="Times New Roman" w:hAnsi="Times New Roman" w:cs="Times New Roman"/>
                      <w:kern w:val="2"/>
                      <w:sz w:val="21"/>
                      <w:szCs w:val="21"/>
                      <w:lang w:val="en-US" w:eastAsia="zh-CN" w:bidi="ar"/>
                    </w:rPr>
                    <w:t>7000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r>
                    <w:rPr>
                      <w:rFonts w:hint="eastAsia" w:cs="Times New Roman"/>
                      <w:kern w:val="2"/>
                      <w:sz w:val="21"/>
                      <w:szCs w:val="21"/>
                      <w:vertAlign w:val="baseline"/>
                      <w:lang w:val="en-US" w:eastAsia="zh-CN" w:bidi="ar"/>
                    </w:rPr>
                    <w:t>，成品构件组装车间</w:t>
                  </w:r>
                </w:p>
              </w:tc>
              <w:tc>
                <w:tcPr>
                  <w:tcW w:w="76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 w:val="21"/>
                      <w:szCs w:val="21"/>
                    </w:rPr>
                  </w:pPr>
                  <w:r>
                    <w:rPr>
                      <w:rFonts w:hint="eastAsia" w:cs="Times New Roman"/>
                      <w:kern w:val="0"/>
                      <w:sz w:val="21"/>
                      <w:szCs w:val="21"/>
                      <w:lang w:val="en-US" w:eastAsia="zh-CN"/>
                    </w:rPr>
                    <w:t>暂未建成，不在本次验收范围内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搅拌车间</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钢结构，层高大于8m，单层，建筑面积为</w:t>
                  </w:r>
                  <w:r>
                    <w:rPr>
                      <w:rFonts w:hint="default" w:ascii="Times New Roman" w:hAnsi="Times New Roman" w:cs="Times New Roman"/>
                      <w:kern w:val="2"/>
                      <w:sz w:val="21"/>
                      <w:szCs w:val="21"/>
                      <w:lang w:val="en-US" w:eastAsia="zh-CN" w:bidi="ar"/>
                    </w:rPr>
                    <w:t>1064</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483" w:type="pct"/>
                  <w:vMerge w:val="restart"/>
                  <w:noWrap w:val="0"/>
                  <w:vAlign w:val="center"/>
                </w:tcPr>
                <w:p>
                  <w:pPr>
                    <w:pStyle w:val="56"/>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辅助工程</w:t>
                  </w: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rPr>
                    <w:t>#办公楼</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双层框架结构，建筑面积为</w:t>
                  </w:r>
                  <w:r>
                    <w:rPr>
                      <w:rFonts w:hint="default" w:ascii="Times New Roman" w:hAnsi="Times New Roman" w:cs="Times New Roman"/>
                      <w:kern w:val="2"/>
                      <w:sz w:val="21"/>
                      <w:szCs w:val="21"/>
                      <w:lang w:val="en-US" w:eastAsia="zh-CN" w:bidi="ar"/>
                    </w:rPr>
                    <w:t>1980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暂未建成，不在本次验收范围内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7"/>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rPr>
                    <w:t>#办公楼</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双层框架结构，建筑面积</w:t>
                  </w:r>
                  <w:r>
                    <w:rPr>
                      <w:rFonts w:hint="default" w:ascii="Times New Roman" w:hAnsi="Times New Roman" w:cs="Times New Roman"/>
                      <w:kern w:val="2"/>
                      <w:sz w:val="21"/>
                      <w:szCs w:val="21"/>
                      <w:lang w:val="en-US" w:eastAsia="zh-CN" w:bidi="ar"/>
                    </w:rPr>
                    <w:t>722</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eastAsia" w:cs="Times New Roman"/>
                      <w:kern w:val="0"/>
                      <w:sz w:val="21"/>
                      <w:szCs w:val="21"/>
                      <w:lang w:val="en-US" w:eastAsia="zh-CN"/>
                    </w:rPr>
                    <w:t>暂未建成，不在本次验收范围内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cs="Times New Roman"/>
                      <w:kern w:val="2"/>
                      <w:sz w:val="21"/>
                      <w:szCs w:val="21"/>
                      <w:lang w:val="en-US" w:eastAsia="zh-CN" w:bidi="ar"/>
                    </w:rPr>
                    <w:t>1#</w:t>
                  </w:r>
                  <w:r>
                    <w:rPr>
                      <w:rFonts w:hint="default" w:ascii="Times New Roman" w:hAnsi="Times New Roman" w:eastAsia="宋体" w:cs="Times New Roman"/>
                      <w:kern w:val="2"/>
                      <w:sz w:val="21"/>
                      <w:szCs w:val="21"/>
                      <w:lang w:val="en-US" w:eastAsia="zh-CN" w:bidi="ar"/>
                    </w:rPr>
                    <w:t>综合楼</w:t>
                  </w:r>
                </w:p>
              </w:tc>
              <w:tc>
                <w:tcPr>
                  <w:tcW w:w="1798"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六层框架结构，建筑面积共计10400m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单层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门卫室</w:t>
                  </w:r>
                </w:p>
              </w:tc>
              <w:tc>
                <w:tcPr>
                  <w:tcW w:w="1798"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砌体结构，单层，建筑面积共计48m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绿化</w:t>
                  </w:r>
                </w:p>
              </w:tc>
              <w:tc>
                <w:tcPr>
                  <w:tcW w:w="1798"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占地面积4014m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逐步绿化中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路面硬化</w:t>
                  </w:r>
                </w:p>
              </w:tc>
              <w:tc>
                <w:tcPr>
                  <w:tcW w:w="1798" w:type="pct"/>
                  <w:noWrap w:val="0"/>
                  <w:vAlign w:val="center"/>
                </w:tcPr>
                <w:p>
                  <w:pPr>
                    <w:keepNext w:val="0"/>
                    <w:keepLines w:val="0"/>
                    <w:widowControl w:val="0"/>
                    <w:suppressLineNumbers w:val="0"/>
                    <w:autoSpaceDE w:val="0"/>
                    <w:autoSpaceDN w:val="0"/>
                    <w:spacing w:before="0" w:beforeAutospacing="0" w:after="0" w:afterAutospacing="0"/>
                    <w:ind w:left="0" w:leftChars="0" w:right="0" w:rightChars="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占地面积62778.56m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建成区全部硬化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restar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储运及其他</w:t>
                  </w:r>
                </w:p>
              </w:tc>
              <w:tc>
                <w:tcPr>
                  <w:tcW w:w="669" w:type="pct"/>
                  <w:noWrap w:val="0"/>
                  <w:vAlign w:val="center"/>
                </w:tcPr>
                <w:p>
                  <w:pPr>
                    <w:pStyle w:val="21"/>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bidi="ar"/>
                    </w:rPr>
                    <w:t>1#</w:t>
                  </w:r>
                  <w:r>
                    <w:rPr>
                      <w:rFonts w:hint="default" w:ascii="Times New Roman" w:hAnsi="Times New Roman" w:eastAsia="宋体" w:cs="Times New Roman"/>
                      <w:kern w:val="0"/>
                      <w:sz w:val="21"/>
                      <w:szCs w:val="21"/>
                      <w:lang w:val="en-US" w:eastAsia="zh-CN" w:bidi="ar"/>
                    </w:rPr>
                    <w:t>原料仓</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kern w:val="0"/>
                      <w:sz w:val="21"/>
                      <w:szCs w:val="21"/>
                    </w:rPr>
                  </w:pPr>
                  <w:r>
                    <w:rPr>
                      <w:rFonts w:hint="default" w:ascii="Times New Roman" w:hAnsi="Times New Roman" w:eastAsia="宋体" w:cs="Times New Roman"/>
                      <w:kern w:val="2"/>
                      <w:sz w:val="21"/>
                      <w:szCs w:val="21"/>
                      <w:lang w:val="en-US" w:eastAsia="zh-CN" w:bidi="ar"/>
                    </w:rPr>
                    <w:t>钢结构，层高大于8m，单层，建筑面积为</w:t>
                  </w:r>
                  <w:r>
                    <w:rPr>
                      <w:rFonts w:hint="eastAsia" w:cs="Times New Roman"/>
                      <w:kern w:val="2"/>
                      <w:sz w:val="21"/>
                      <w:szCs w:val="21"/>
                      <w:lang w:val="en-US" w:eastAsia="zh-CN" w:bidi="ar"/>
                    </w:rPr>
                    <w:t>3900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21"/>
                    <w:keepNext w:val="0"/>
                    <w:keepLines w:val="0"/>
                    <w:widowControl w:val="0"/>
                    <w:suppressLineNumbers w:val="0"/>
                    <w:spacing w:before="5"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eastAsia" w:ascii="Times New Roman" w:hAnsi="Times New Roman" w:cs="Times New Roman"/>
                      <w:kern w:val="0"/>
                      <w:sz w:val="21"/>
                      <w:szCs w:val="21"/>
                      <w:lang w:val="en-US" w:eastAsia="zh-CN" w:bidi="ar"/>
                    </w:rPr>
                    <w:t>2</w:t>
                  </w:r>
                  <w:r>
                    <w:rPr>
                      <w:rFonts w:hint="default" w:ascii="Times New Roman" w:hAnsi="Times New Roman"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原料仓</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钢结构，层高大于8m，单层，建筑面积为2</w:t>
                  </w:r>
                  <w:r>
                    <w:rPr>
                      <w:rFonts w:hint="eastAsia" w:cs="Times New Roman"/>
                      <w:kern w:val="2"/>
                      <w:sz w:val="21"/>
                      <w:szCs w:val="21"/>
                      <w:lang w:val="en-US" w:eastAsia="zh-CN" w:bidi="ar"/>
                    </w:rPr>
                    <w:t>000</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21"/>
                    <w:keepNext w:val="0"/>
                    <w:keepLines w:val="0"/>
                    <w:widowControl w:val="0"/>
                    <w:suppressLineNumbers w:val="0"/>
                    <w:spacing w:before="5" w:beforeAutospacing="0" w:after="0" w:afterAutospacing="0"/>
                    <w:ind w:left="0" w:leftChars="0" w:right="0" w:rightChars="0"/>
                    <w:jc w:val="center"/>
                    <w:rPr>
                      <w:rFonts w:hint="default" w:ascii="Times New Roman" w:hAnsi="Times New Roman" w:cs="Times New Roman"/>
                      <w:sz w:val="21"/>
                      <w:szCs w:val="21"/>
                    </w:rPr>
                  </w:pPr>
                  <w:r>
                    <w:rPr>
                      <w:rFonts w:hint="default" w:ascii="Times New Roman" w:hAnsi="Times New Roman" w:eastAsia="宋体" w:cs="Times New Roman"/>
                      <w:kern w:val="0"/>
                      <w:sz w:val="21"/>
                      <w:szCs w:val="21"/>
                      <w:lang w:val="en-US" w:eastAsia="zh-CN" w:bidi="ar"/>
                    </w:rPr>
                    <w:t>堆场</w:t>
                  </w:r>
                </w:p>
              </w:tc>
              <w:tc>
                <w:tcPr>
                  <w:tcW w:w="1798" w:type="pct"/>
                  <w:noWrap w:val="0"/>
                  <w:vAlign w:val="center"/>
                </w:tcPr>
                <w:p>
                  <w:pPr>
                    <w:keepNext w:val="0"/>
                    <w:keepLines w:val="0"/>
                    <w:widowControl w:val="0"/>
                    <w:suppressLineNumbers w:val="0"/>
                    <w:snapToGrid w:val="0"/>
                    <w:spacing w:before="0" w:beforeAutospacing="0" w:after="0" w:afterAutospacing="0"/>
                    <w:ind w:left="0" w:leftChars="0" w:right="0" w:rightChars="0"/>
                    <w:jc w:val="both"/>
                    <w:rPr>
                      <w:rFonts w:hint="default" w:ascii="Times New Roman" w:hAnsi="Times New Roman" w:cs="Times New Roman"/>
                      <w:kern w:val="0"/>
                      <w:sz w:val="21"/>
                      <w:szCs w:val="21"/>
                    </w:rPr>
                  </w:pPr>
                  <w:r>
                    <w:rPr>
                      <w:rFonts w:hint="default" w:ascii="Times New Roman" w:hAnsi="Times New Roman" w:cs="Times New Roman"/>
                      <w:kern w:val="2"/>
                      <w:sz w:val="21"/>
                      <w:szCs w:val="21"/>
                      <w:lang w:val="en-US" w:eastAsia="zh-CN" w:bidi="ar"/>
                    </w:rPr>
                    <w:t>硬化地面</w:t>
                  </w:r>
                  <w:r>
                    <w:rPr>
                      <w:rFonts w:hint="default" w:ascii="Times New Roman" w:hAnsi="Times New Roman" w:eastAsia="宋体" w:cs="Times New Roman"/>
                      <w:kern w:val="2"/>
                      <w:sz w:val="21"/>
                      <w:szCs w:val="21"/>
                      <w:lang w:val="en-US" w:eastAsia="zh-CN" w:bidi="ar"/>
                    </w:rPr>
                    <w:t>，占地面积为</w:t>
                  </w:r>
                  <w:r>
                    <w:rPr>
                      <w:rFonts w:hint="default" w:ascii="Times New Roman" w:hAnsi="Times New Roman" w:cs="Times New Roman"/>
                      <w:kern w:val="2"/>
                      <w:sz w:val="21"/>
                      <w:szCs w:val="21"/>
                      <w:lang w:val="en-US" w:eastAsia="zh-CN" w:bidi="ar"/>
                    </w:rPr>
                    <w:t>26947</w:t>
                  </w: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76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kern w:val="0"/>
                      <w:sz w:val="21"/>
                      <w:szCs w:val="21"/>
                    </w:rPr>
                    <w:t>新建</w:t>
                  </w:r>
                </w:p>
              </w:tc>
              <w:tc>
                <w:tcPr>
                  <w:tcW w:w="127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封闭式结构，硬化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483" w:type="pct"/>
                  <w:vMerge w:val="restar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公共工程</w:t>
                  </w: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供电</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color w:val="auto"/>
                      <w:sz w:val="21"/>
                      <w:szCs w:val="21"/>
                    </w:rPr>
                    <w:t>由国家电网供电</w:t>
                  </w:r>
                </w:p>
              </w:tc>
              <w:tc>
                <w:tcPr>
                  <w:tcW w:w="127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给水</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color w:val="auto"/>
                      <w:sz w:val="21"/>
                      <w:szCs w:val="21"/>
                    </w:rPr>
                    <w:t>由库尔勒</w:t>
                  </w:r>
                  <w:r>
                    <w:rPr>
                      <w:rFonts w:hint="default" w:ascii="Times New Roman" w:hAnsi="Times New Roman" w:cs="Times New Roman"/>
                      <w:color w:val="auto"/>
                      <w:sz w:val="21"/>
                      <w:szCs w:val="21"/>
                      <w:lang w:eastAsia="zh-CN"/>
                    </w:rPr>
                    <w:t>开发区</w:t>
                  </w:r>
                  <w:r>
                    <w:rPr>
                      <w:rFonts w:hint="default" w:ascii="Times New Roman" w:hAnsi="Times New Roman" w:cs="Times New Roman"/>
                      <w:color w:val="auto"/>
                      <w:sz w:val="21"/>
                      <w:szCs w:val="21"/>
                    </w:rPr>
                    <w:t>自来水管网提供</w:t>
                  </w:r>
                </w:p>
              </w:tc>
              <w:tc>
                <w:tcPr>
                  <w:tcW w:w="127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排水</w:t>
                  </w:r>
                </w:p>
              </w:tc>
              <w:tc>
                <w:tcPr>
                  <w:tcW w:w="2567" w:type="pct"/>
                  <w:gridSpan w:val="2"/>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
                    </w:rPr>
                    <w:t>开发区下水管网，最终进入库尔勒开发区污水处理厂</w:t>
                  </w:r>
                </w:p>
              </w:tc>
              <w:tc>
                <w:tcPr>
                  <w:tcW w:w="1279" w:type="pct"/>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bidi="ar"/>
                    </w:rPr>
                  </w:pPr>
                  <w:r>
                    <w:rPr>
                      <w:rFonts w:hint="default" w:ascii="Times New Roman" w:hAnsi="Times New Roman" w:eastAsia="宋体" w:cs="Times New Roman"/>
                      <w:kern w:val="2"/>
                      <w:sz w:val="21"/>
                      <w:szCs w:val="21"/>
                      <w:lang w:val="en-US" w:eastAsia="zh-CN" w:bidi="ar"/>
                    </w:rPr>
                    <w:t>供热</w:t>
                  </w:r>
                </w:p>
              </w:tc>
              <w:tc>
                <w:tcPr>
                  <w:tcW w:w="2567" w:type="pct"/>
                  <w:gridSpan w:val="2"/>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电热水炉供热</w:t>
                  </w:r>
                </w:p>
              </w:tc>
              <w:tc>
                <w:tcPr>
                  <w:tcW w:w="1279" w:type="pct"/>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lang w:val="en-US" w:eastAsia="zh-CN" w:bidi="ar"/>
                    </w:rPr>
                  </w:pPr>
                  <w:r>
                    <w:rPr>
                      <w:rFonts w:hint="eastAsia" w:cs="Times New Roman"/>
                      <w:kern w:val="2"/>
                      <w:sz w:val="21"/>
                      <w:szCs w:val="21"/>
                      <w:lang w:val="en-US" w:eastAsia="zh-CN" w:bidi="ar"/>
                    </w:rPr>
                    <w:t>冬季采暖采用电暖器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483" w:type="pct"/>
                  <w:vMerge w:val="restar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环保工程</w:t>
                  </w: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废气处理系统</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sz w:val="21"/>
                      <w:szCs w:val="21"/>
                    </w:rPr>
                    <w:t>主要为水泥仓顶部安装除尘器</w:t>
                  </w:r>
                  <w:r>
                    <w:rPr>
                      <w:rFonts w:hint="default" w:ascii="Times New Roman" w:hAnsi="Times New Roman" w:cs="Times New Roman"/>
                      <w:sz w:val="21"/>
                      <w:szCs w:val="21"/>
                      <w:lang w:eastAsia="zh-CN"/>
                    </w:rPr>
                    <w:t>，通过布袋除尘器处理后通过</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5m高排气筒排放</w:t>
                  </w:r>
                  <w:r>
                    <w:rPr>
                      <w:rFonts w:hint="default" w:ascii="Times New Roman" w:hAnsi="Times New Roman" w:cs="Times New Roman"/>
                      <w:sz w:val="21"/>
                      <w:szCs w:val="21"/>
                    </w:rPr>
                    <w:t>；对物料运输进行密封处理；车间内通风措施；</w:t>
                  </w:r>
                  <w:r>
                    <w:rPr>
                      <w:rFonts w:hint="default" w:ascii="Times New Roman" w:hAnsi="Times New Roman" w:cs="Times New Roman"/>
                      <w:sz w:val="21"/>
                      <w:szCs w:val="21"/>
                      <w:lang w:eastAsia="zh-CN"/>
                    </w:rPr>
                    <w:t>投料粉尘：生产设备安装</w:t>
                  </w:r>
                  <w:r>
                    <w:rPr>
                      <w:rFonts w:hint="eastAsia" w:cs="Times New Roman"/>
                      <w:sz w:val="21"/>
                      <w:szCs w:val="21"/>
                      <w:lang w:eastAsia="zh-CN"/>
                    </w:rPr>
                    <w:t>布袋式除尘器</w:t>
                  </w:r>
                  <w:r>
                    <w:rPr>
                      <w:rFonts w:hint="default" w:ascii="Times New Roman" w:hAnsi="Times New Roman" w:cs="Times New Roman"/>
                      <w:sz w:val="21"/>
                      <w:szCs w:val="21"/>
                      <w:lang w:eastAsia="zh-CN"/>
                    </w:rPr>
                    <w:t>收集，除尘器收集的粉尘部分回用于生产，其余后通过</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5m高排气筒排放；</w:t>
                  </w:r>
                </w:p>
              </w:tc>
              <w:tc>
                <w:tcPr>
                  <w:tcW w:w="127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jc w:val="both"/>
                    <w:textAlignment w:val="auto"/>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运期废气</w:t>
                  </w:r>
                  <w:r>
                    <w:rPr>
                      <w:rFonts w:hint="eastAsia" w:ascii="Times New Roman" w:hAnsi="Times New Roman" w:eastAsia="宋体" w:cs="Times New Roman"/>
                      <w:sz w:val="21"/>
                      <w:szCs w:val="21"/>
                    </w:rPr>
                    <w:t>主要污染物为</w:t>
                  </w:r>
                  <w:r>
                    <w:rPr>
                      <w:rFonts w:hint="eastAsia" w:ascii="Times New Roman" w:hAnsi="Times New Roman" w:eastAsia="宋体" w:cs="Times New Roman"/>
                      <w:sz w:val="21"/>
                      <w:szCs w:val="21"/>
                      <w:lang w:val="en-US" w:eastAsia="zh-CN"/>
                    </w:rPr>
                    <w:t>搅拌工序废气和水泥筒仓、粉煤灰筒仓和矿粉筒仓呼吸孔废气以及厂界无组织粉尘。</w:t>
                  </w:r>
                  <w:r>
                    <w:rPr>
                      <w:rFonts w:hint="eastAsia" w:cs="Times New Roman"/>
                      <w:sz w:val="21"/>
                      <w:szCs w:val="21"/>
                      <w:lang w:val="en-US" w:eastAsia="zh-CN"/>
                    </w:rPr>
                    <w:t>经监测，均能够达标排放。</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废水</w:t>
                  </w:r>
                  <w:r>
                    <w:rPr>
                      <w:rFonts w:hint="default" w:ascii="Times New Roman" w:hAnsi="Times New Roman" w:cs="Times New Roman"/>
                      <w:sz w:val="21"/>
                      <w:szCs w:val="21"/>
                      <w:lang w:eastAsia="zh-CN"/>
                    </w:rPr>
                    <w:t>处理系统</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eastAsia" w:cs="Times New Roman"/>
                      <w:sz w:val="21"/>
                      <w:szCs w:val="21"/>
                      <w:lang w:val="en-US" w:eastAsia="zh-CN"/>
                    </w:rPr>
                    <w:t>食堂废水经隔油池处理、</w:t>
                  </w:r>
                  <w:r>
                    <w:rPr>
                      <w:rFonts w:hint="default" w:ascii="Times New Roman" w:hAnsi="Times New Roman" w:cs="Times New Roman"/>
                      <w:sz w:val="21"/>
                      <w:szCs w:val="21"/>
                    </w:rPr>
                    <w:t>生活污水经防渗化粪池</w:t>
                  </w:r>
                  <w:r>
                    <w:rPr>
                      <w:rFonts w:hint="eastAsia" w:cs="Times New Roman"/>
                      <w:sz w:val="21"/>
                      <w:szCs w:val="21"/>
                      <w:lang w:eastAsia="zh-CN"/>
                    </w:rPr>
                    <w:t>（</w:t>
                  </w:r>
                  <w:r>
                    <w:rPr>
                      <w:rFonts w:hint="eastAsia" w:cs="Times New Roman"/>
                      <w:sz w:val="21"/>
                      <w:szCs w:val="21"/>
                      <w:lang w:val="en-US" w:eastAsia="zh-CN"/>
                    </w:rPr>
                    <w:t>25m</w:t>
                  </w:r>
                  <w:r>
                    <w:rPr>
                      <w:rFonts w:hint="eastAsia" w:cs="Times New Roman"/>
                      <w:sz w:val="21"/>
                      <w:szCs w:val="21"/>
                      <w:vertAlign w:val="superscript"/>
                      <w:lang w:val="en-US" w:eastAsia="zh-CN"/>
                    </w:rPr>
                    <w:t>3</w:t>
                  </w:r>
                  <w:r>
                    <w:rPr>
                      <w:rFonts w:hint="eastAsia" w:cs="Times New Roman"/>
                      <w:sz w:val="21"/>
                      <w:szCs w:val="21"/>
                      <w:lang w:eastAsia="zh-CN"/>
                    </w:rPr>
                    <w:t>）</w:t>
                  </w:r>
                  <w:r>
                    <w:rPr>
                      <w:rFonts w:hint="default" w:ascii="Times New Roman" w:hAnsi="Times New Roman" w:cs="Times New Roman"/>
                      <w:sz w:val="21"/>
                      <w:szCs w:val="21"/>
                    </w:rPr>
                    <w:t>处理后，达到《污水综合排放标准》（GB12348-2008）三级标准，排入</w:t>
                  </w:r>
                  <w:r>
                    <w:rPr>
                      <w:rFonts w:hint="default" w:ascii="Times New Roman" w:hAnsi="Times New Roman" w:cs="Times New Roman"/>
                      <w:sz w:val="21"/>
                      <w:szCs w:val="21"/>
                      <w:lang w:eastAsia="zh-CN"/>
                    </w:rPr>
                    <w:t>开发区</w:t>
                  </w:r>
                  <w:r>
                    <w:rPr>
                      <w:rFonts w:hint="default" w:ascii="Times New Roman" w:hAnsi="Times New Roman" w:cs="Times New Roman"/>
                      <w:sz w:val="21"/>
                      <w:szCs w:val="21"/>
                    </w:rPr>
                    <w:t>下水管网，最终进入</w:t>
                  </w:r>
                  <w:r>
                    <w:rPr>
                      <w:rFonts w:hint="default" w:ascii="Times New Roman" w:hAnsi="Times New Roman" w:cs="Times New Roman"/>
                      <w:sz w:val="21"/>
                      <w:szCs w:val="21"/>
                      <w:lang w:eastAsia="zh-CN"/>
                    </w:rPr>
                    <w:t>库尔勒开发区</w:t>
                  </w:r>
                  <w:r>
                    <w:rPr>
                      <w:rFonts w:hint="default" w:ascii="Times New Roman" w:hAnsi="Times New Roman" w:cs="Times New Roman"/>
                      <w:sz w:val="21"/>
                      <w:szCs w:val="21"/>
                    </w:rPr>
                    <w:t>污水处理厂；地面硬化防渗处理；生产废水均在沉淀池沉淀后回用于生产，不外排。</w:t>
                  </w:r>
                </w:p>
              </w:tc>
              <w:tc>
                <w:tcPr>
                  <w:tcW w:w="1279" w:type="pct"/>
                  <w:noWrap w:val="0"/>
                  <w:vAlign w:val="center"/>
                </w:tcPr>
                <w:p>
                  <w:pPr>
                    <w:keepNext w:val="0"/>
                    <w:keepLines w:val="0"/>
                    <w:suppressLineNumbers w:val="0"/>
                    <w:spacing w:before="0" w:beforeAutospacing="0" w:after="0" w:afterAutospacing="0"/>
                    <w:ind w:left="0" w:right="0"/>
                    <w:jc w:val="left"/>
                    <w:rPr>
                      <w:rFonts w:hint="eastAsia" w:cs="Times New Roman"/>
                      <w:sz w:val="21"/>
                      <w:szCs w:val="21"/>
                      <w:lang w:val="en-US" w:eastAsia="zh-CN"/>
                    </w:rPr>
                  </w:pPr>
                  <w:r>
                    <w:rPr>
                      <w:rFonts w:hint="eastAsia" w:cs="Times New Roman"/>
                      <w:sz w:val="21"/>
                      <w:szCs w:val="21"/>
                      <w:lang w:val="en-US" w:eastAsia="zh-CN"/>
                    </w:rPr>
                    <w:t>食堂废水经油水分离器处理、</w:t>
                  </w:r>
                  <w:r>
                    <w:rPr>
                      <w:rFonts w:hint="default" w:ascii="Times New Roman" w:hAnsi="Times New Roman" w:cs="Times New Roman"/>
                      <w:sz w:val="21"/>
                      <w:szCs w:val="21"/>
                    </w:rPr>
                    <w:t>生活污水经防渗化粪池处理后，达到《污水综合排放标准》（GB12348-2008）三级标准，</w:t>
                  </w:r>
                  <w:r>
                    <w:rPr>
                      <w:rFonts w:hint="eastAsia" w:ascii="Times New Roman" w:hAnsi="Times New Roman" w:cs="Times New Roman"/>
                      <w:sz w:val="21"/>
                      <w:szCs w:val="21"/>
                      <w:lang w:val="en-US" w:eastAsia="zh-CN"/>
                    </w:rPr>
                    <w:t>用于厂区绿化</w:t>
                  </w:r>
                  <w:r>
                    <w:rPr>
                      <w:rFonts w:hint="default" w:ascii="Times New Roman" w:hAnsi="Times New Roman" w:cs="Times New Roman"/>
                      <w:sz w:val="21"/>
                      <w:szCs w:val="21"/>
                    </w:rPr>
                    <w:t>；地面硬化防渗处理；生产废水均在</w:t>
                  </w:r>
                  <w:r>
                    <w:rPr>
                      <w:rFonts w:hint="eastAsia" w:ascii="Times New Roman" w:hAnsi="Times New Roman" w:cs="Times New Roman"/>
                      <w:sz w:val="21"/>
                      <w:szCs w:val="21"/>
                      <w:lang w:val="en-US" w:eastAsia="zh-CN"/>
                    </w:rPr>
                    <w:t>三级</w:t>
                  </w:r>
                  <w:r>
                    <w:rPr>
                      <w:rFonts w:hint="default" w:ascii="Times New Roman" w:hAnsi="Times New Roman" w:cs="Times New Roman"/>
                      <w:sz w:val="21"/>
                      <w:szCs w:val="21"/>
                    </w:rPr>
                    <w:t>沉淀池沉淀后回用于生产，不外排。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bCs/>
                      <w:sz w:val="21"/>
                      <w:szCs w:val="21"/>
                    </w:rPr>
                    <w:t>控制噪声源，设备管道防振、防冲击，</w:t>
                  </w:r>
                  <w:r>
                    <w:rPr>
                      <w:rFonts w:hint="default" w:ascii="Times New Roman" w:hAnsi="Times New Roman" w:cs="Times New Roman"/>
                      <w:sz w:val="21"/>
                      <w:szCs w:val="21"/>
                    </w:rPr>
                    <w:t>采用减振降噪或加装隔声罩等。</w:t>
                  </w:r>
                </w:p>
              </w:tc>
              <w:tc>
                <w:tcPr>
                  <w:tcW w:w="127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控制噪声源，设备管道防振、防冲击，</w:t>
                  </w:r>
                  <w:r>
                    <w:rPr>
                      <w:rFonts w:hint="default" w:ascii="Times New Roman" w:hAnsi="Times New Roman" w:cs="Times New Roman"/>
                      <w:sz w:val="21"/>
                      <w:szCs w:val="21"/>
                    </w:rPr>
                    <w:t>采用减振降噪或加装隔声罩等。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6" w:hRule="atLeast"/>
                <w:jc w:val="center"/>
              </w:trPr>
              <w:tc>
                <w:tcPr>
                  <w:tcW w:w="483" w:type="pct"/>
                  <w:vMerge w:val="continue"/>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669" w:type="pct"/>
                  <w:noWrap w:val="0"/>
                  <w:vAlign w:val="center"/>
                </w:tcPr>
                <w:p>
                  <w:pPr>
                    <w:pStyle w:val="56"/>
                    <w:keepNext w:val="0"/>
                    <w:keepLines w:val="0"/>
                    <w:suppressLineNumbers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固废处理系统</w:t>
                  </w:r>
                </w:p>
              </w:tc>
              <w:tc>
                <w:tcPr>
                  <w:tcW w:w="2567"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cs="Times New Roman"/>
                      <w:bCs/>
                      <w:sz w:val="21"/>
                      <w:szCs w:val="21"/>
                    </w:rPr>
                    <w:t>生产固废主要为沉淀池废渣、除尘器粉尘，均回用于生产中，不外排；生活垃圾经统一收集，由环卫部门定期清运</w:t>
                  </w:r>
                </w:p>
              </w:tc>
              <w:tc>
                <w:tcPr>
                  <w:tcW w:w="127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bCs/>
                      <w:sz w:val="21"/>
                      <w:szCs w:val="21"/>
                    </w:rPr>
                  </w:pPr>
                  <w:r>
                    <w:rPr>
                      <w:rFonts w:hint="default" w:ascii="Times New Roman" w:hAnsi="Times New Roman" w:cs="Times New Roman"/>
                      <w:bCs/>
                      <w:sz w:val="21"/>
                      <w:szCs w:val="21"/>
                    </w:rPr>
                    <w:t>生产固废主要为沉淀池废渣、除尘器粉尘，均回用于生产中，不外排；生活垃圾经统一收集，由环卫部门定期清运；</w:t>
                  </w:r>
                </w:p>
              </w:tc>
            </w:tr>
          </w:tbl>
          <w:p>
            <w:pPr>
              <w:pStyle w:val="6"/>
              <w:widowControl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2.3 主要设备清单</w:t>
            </w:r>
            <w:bookmarkEnd w:id="15"/>
          </w:p>
          <w:p>
            <w:pPr>
              <w:widowControl w:val="0"/>
              <w:bidi w:val="0"/>
              <w:ind w:firstLine="480" w:firstLineChars="200"/>
              <w:jc w:val="left"/>
              <w:rPr>
                <w:rFonts w:hint="eastAsia" w:ascii="宋体" w:hAnsi="宋体" w:eastAsia="宋体" w:cs="宋体"/>
                <w:color w:val="auto"/>
                <w:lang w:val="en-US" w:eastAsia="zh-CN"/>
              </w:rPr>
            </w:pPr>
            <w:bookmarkStart w:id="16" w:name="_Toc27903"/>
            <w:bookmarkStart w:id="17" w:name="_Toc28963"/>
            <w:bookmarkStart w:id="18" w:name="_Toc10542"/>
            <w:bookmarkStart w:id="19" w:name="_Toc10289"/>
            <w:bookmarkStart w:id="20" w:name="_Toc24876"/>
            <w:bookmarkStart w:id="21" w:name="_Toc14181"/>
            <w:r>
              <w:rPr>
                <w:rFonts w:hint="eastAsia" w:ascii="宋体" w:hAnsi="宋体" w:eastAsia="宋体" w:cs="宋体"/>
                <w:color w:val="auto"/>
                <w:lang w:val="en-US" w:eastAsia="zh-CN"/>
              </w:rPr>
              <w:t>本项目主要设备见表2-2。</w:t>
            </w:r>
          </w:p>
          <w:p>
            <w:pPr>
              <w:widowControl w:val="0"/>
              <w:bidi w:val="0"/>
              <w:ind w:firstLine="482" w:firstLineChars="200"/>
              <w:jc w:val="center"/>
              <w:rPr>
                <w:rFonts w:hint="eastAsia" w:ascii="宋体" w:hAnsi="宋体" w:eastAsia="宋体" w:cs="宋体"/>
                <w:b/>
                <w:bCs/>
                <w:color w:val="auto"/>
                <w:lang w:val="en-US" w:eastAsia="zh-CN"/>
              </w:rPr>
            </w:pPr>
          </w:p>
          <w:p>
            <w:pPr>
              <w:widowControl w:val="0"/>
              <w:bidi w:val="0"/>
              <w:ind w:firstLine="482" w:firstLineChars="200"/>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 xml:space="preserve">表2-2 </w:t>
            </w:r>
            <w:r>
              <w:rPr>
                <w:rFonts w:hint="eastAsia" w:ascii="宋体" w:hAnsi="宋体" w:eastAsia="宋体" w:cs="宋体"/>
                <w:b/>
                <w:bCs/>
                <w:color w:val="auto"/>
                <w:lang w:eastAsia="zh-CN"/>
              </w:rPr>
              <w:t>主要设备清单</w:t>
            </w:r>
          </w:p>
          <w:bookmarkEnd w:id="16"/>
          <w:bookmarkEnd w:id="17"/>
          <w:bookmarkEnd w:id="18"/>
          <w:bookmarkEnd w:id="19"/>
          <w:bookmarkEnd w:id="20"/>
          <w:tbl>
            <w:tblPr>
              <w:tblStyle w:val="23"/>
              <w:tblW w:w="5034"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5"/>
              <w:gridCol w:w="2122"/>
              <w:gridCol w:w="1706"/>
              <w:gridCol w:w="1357"/>
              <w:gridCol w:w="1343"/>
              <w:gridCol w:w="134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992" w:hRule="atLeast"/>
                <w:jc w:val="center"/>
              </w:trPr>
              <w:tc>
                <w:tcPr>
                  <w:tcW w:w="495" w:type="pct"/>
                  <w:tcBorders>
                    <w:tl2br w:val="nil"/>
                    <w:tr2bl w:val="nil"/>
                  </w:tcBorders>
                  <w:noWrap w:val="0"/>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bookmarkStart w:id="22" w:name="_Toc31545"/>
                  <w:bookmarkStart w:id="23" w:name="_Toc7662"/>
                  <w:bookmarkStart w:id="24" w:name="_Toc4510"/>
                  <w:bookmarkStart w:id="25" w:name="_Toc3961"/>
                  <w:bookmarkStart w:id="26" w:name="_Toc19427"/>
                  <w:r>
                    <w:rPr>
                      <w:rFonts w:hint="default" w:ascii="Times New Roman" w:hAnsi="Times New Roman" w:eastAsia="宋体" w:cs="Times New Roman"/>
                      <w:b/>
                      <w:bCs/>
                      <w:color w:val="auto"/>
                      <w:sz w:val="21"/>
                      <w:szCs w:val="21"/>
                      <w:highlight w:val="none"/>
                    </w:rPr>
                    <w:t>序号</w:t>
                  </w:r>
                </w:p>
              </w:tc>
              <w:tc>
                <w:tcPr>
                  <w:tcW w:w="1214" w:type="pct"/>
                  <w:tcBorders>
                    <w:tl2br w:val="nil"/>
                    <w:tr2bl w:val="nil"/>
                  </w:tcBorders>
                  <w:noWrap w:val="0"/>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rPr>
                    <w:t>设备名称</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color w:val="auto"/>
                      <w:sz w:val="21"/>
                      <w:szCs w:val="21"/>
                      <w:highlight w:val="none"/>
                    </w:rPr>
                    <w:t>单位</w:t>
                  </w:r>
                </w:p>
              </w:tc>
              <w:tc>
                <w:tcPr>
                  <w:tcW w:w="776" w:type="pct"/>
                  <w:tcBorders>
                    <w:tl2br w:val="nil"/>
                    <w:tr2bl w:val="nil"/>
                  </w:tcBorders>
                  <w:noWrap w:val="0"/>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color w:val="auto"/>
                      <w:sz w:val="21"/>
                      <w:szCs w:val="21"/>
                      <w:highlight w:val="none"/>
                    </w:rPr>
                    <w:t>数量</w:t>
                  </w:r>
                </w:p>
              </w:tc>
              <w:tc>
                <w:tcPr>
                  <w:tcW w:w="768" w:type="pct"/>
                  <w:tcBorders>
                    <w:tl2br w:val="nil"/>
                    <w:tr2bl w:val="nil"/>
                  </w:tcBorders>
                  <w:noWrap w:val="0"/>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bidi="ar-SA"/>
                    </w:rPr>
                  </w:pPr>
                  <w:r>
                    <w:rPr>
                      <w:rFonts w:hint="eastAsia" w:eastAsia="宋体" w:cs="Times New Roman"/>
                      <w:b/>
                      <w:bCs/>
                      <w:color w:val="auto"/>
                      <w:sz w:val="21"/>
                      <w:szCs w:val="21"/>
                      <w:highlight w:val="none"/>
                      <w:lang w:val="en-US" w:eastAsia="zh-CN"/>
                    </w:rPr>
                    <w:t>实际建设的设备及数量</w:t>
                  </w:r>
                </w:p>
              </w:tc>
              <w:tc>
                <w:tcPr>
                  <w:tcW w:w="768" w:type="pct"/>
                  <w:tcBorders>
                    <w:tl2br w:val="nil"/>
                    <w:tr2bl w:val="nil"/>
                  </w:tcBorders>
                  <w:noWrap w:val="0"/>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bidi="ar-SA"/>
                    </w:rPr>
                  </w:pPr>
                  <w:r>
                    <w:rPr>
                      <w:rFonts w:hint="eastAsia" w:cs="Times New Roman"/>
                      <w:b/>
                      <w:bCs/>
                      <w:color w:val="auto"/>
                      <w:sz w:val="21"/>
                      <w:szCs w:val="21"/>
                      <w:highlight w:val="none"/>
                      <w:lang w:val="en-US" w:eastAsia="zh-CN"/>
                    </w:rPr>
                    <w:t>是否</w:t>
                  </w:r>
                  <w:r>
                    <w:rPr>
                      <w:rFonts w:hint="eastAsia" w:ascii="Times New Roman" w:hAnsi="Times New Roman" w:cs="Times New Roman"/>
                      <w:b/>
                      <w:bCs/>
                      <w:color w:val="auto"/>
                      <w:sz w:val="21"/>
                      <w:szCs w:val="21"/>
                      <w:highlight w:val="none"/>
                      <w:lang w:val="en-US" w:eastAsia="zh-CN"/>
                    </w:rPr>
                    <w:t>与环评及批复一致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495" w:type="pct"/>
                  <w:tcBorders>
                    <w:tl2br w:val="nil"/>
                    <w:tr2bl w:val="nil"/>
                  </w:tcBorders>
                  <w:noWrap w:val="0"/>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rPr>
                    <w:t>1</w:t>
                  </w:r>
                </w:p>
              </w:tc>
              <w:tc>
                <w:tcPr>
                  <w:tcW w:w="1214"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36.3米生产线（每节3.3米×11节）</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台（套）</w:t>
                  </w:r>
                </w:p>
              </w:tc>
              <w:tc>
                <w:tcPr>
                  <w:tcW w:w="776" w:type="pct"/>
                  <w:tcBorders>
                    <w:tl2br w:val="nil"/>
                    <w:tr2bl w:val="nil"/>
                  </w:tcBorders>
                  <w:noWrap w:val="0"/>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b w:val="0"/>
                      <w:bCs w:val="0"/>
                      <w:sz w:val="21"/>
                      <w:szCs w:val="21"/>
                      <w:highlight w:val="none"/>
                    </w:rPr>
                    <w:t>2</w:t>
                  </w:r>
                  <w:r>
                    <w:rPr>
                      <w:rFonts w:hint="eastAsia"/>
                      <w:b w:val="0"/>
                      <w:bCs w:val="0"/>
                      <w:sz w:val="21"/>
                      <w:szCs w:val="21"/>
                      <w:highlight w:val="none"/>
                      <w:lang w:val="en-US" w:eastAsia="zh-CN"/>
                    </w:rPr>
                    <w:t>套</w:t>
                  </w:r>
                </w:p>
              </w:tc>
              <w:tc>
                <w:tcPr>
                  <w:tcW w:w="768" w:type="pct"/>
                  <w:tcBorders>
                    <w:tl2br w:val="nil"/>
                    <w:tr2bl w:val="nil"/>
                  </w:tcBorders>
                  <w:noWrap w:val="0"/>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495" w:type="pct"/>
                  <w:tcBorders>
                    <w:tl2br w:val="nil"/>
                    <w:tr2bl w:val="nil"/>
                  </w:tcBorders>
                  <w:noWrap w:val="0"/>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sz w:val="21"/>
                      <w:szCs w:val="21"/>
                      <w:highlight w:val="none"/>
                    </w:rPr>
                    <w:t>2</w:t>
                  </w:r>
                </w:p>
              </w:tc>
              <w:tc>
                <w:tcPr>
                  <w:tcW w:w="1214"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43.9米生产线（每节3.3米×13节）</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tcBorders>
                    <w:tl2br w:val="nil"/>
                    <w:tr2bl w:val="nil"/>
                  </w:tcBorders>
                  <w:noWrap w:val="0"/>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b w:val="0"/>
                      <w:bCs w:val="0"/>
                      <w:sz w:val="21"/>
                      <w:szCs w:val="21"/>
                      <w:highlight w:val="none"/>
                    </w:rPr>
                    <w:t>2</w:t>
                  </w:r>
                  <w:r>
                    <w:rPr>
                      <w:rFonts w:hint="eastAsia"/>
                      <w:b w:val="0"/>
                      <w:bCs w:val="0"/>
                      <w:sz w:val="21"/>
                      <w:szCs w:val="21"/>
                      <w:highlight w:val="none"/>
                      <w:lang w:val="en-US" w:eastAsia="zh-CN"/>
                    </w:rPr>
                    <w:t>套</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495" w:type="pct"/>
                  <w:tcBorders>
                    <w:tl2br w:val="nil"/>
                    <w:tr2bl w:val="nil"/>
                  </w:tcBorders>
                  <w:noWrap w:val="0"/>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3</w:t>
                  </w:r>
                </w:p>
              </w:tc>
              <w:tc>
                <w:tcPr>
                  <w:tcW w:w="1214"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双驱动液压码垛机</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tcBorders>
                    <w:tl2br w:val="nil"/>
                    <w:tr2bl w:val="nil"/>
                  </w:tcBorders>
                  <w:noWrap w:val="0"/>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b w:val="0"/>
                      <w:bCs w:val="0"/>
                      <w:sz w:val="21"/>
                      <w:szCs w:val="21"/>
                      <w:highlight w:val="none"/>
                    </w:rPr>
                    <w:t>2</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1" w:hRule="atLeast"/>
                <w:jc w:val="center"/>
              </w:trPr>
              <w:tc>
                <w:tcPr>
                  <w:tcW w:w="495" w:type="pct"/>
                  <w:tcBorders>
                    <w:tl2br w:val="nil"/>
                    <w:tr2bl w:val="nil"/>
                  </w:tcBorders>
                  <w:noWrap w:val="0"/>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4</w:t>
                  </w:r>
                </w:p>
              </w:tc>
              <w:tc>
                <w:tcPr>
                  <w:tcW w:w="1214"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立式搅拌机</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tcBorders>
                    <w:tl2br w:val="nil"/>
                    <w:tr2bl w:val="nil"/>
                  </w:tcBorders>
                  <w:noWrap w:val="0"/>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6</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tcBorders>
                    <w:tl2br w:val="nil"/>
                    <w:tr2bl w:val="nil"/>
                  </w:tcBorders>
                  <w:noWrap w:val="0"/>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5</w:t>
                  </w:r>
                </w:p>
              </w:tc>
              <w:tc>
                <w:tcPr>
                  <w:tcW w:w="1214"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1.5立方卧式搅拌机（湿混）</w:t>
                  </w:r>
                </w:p>
              </w:tc>
              <w:tc>
                <w:tcPr>
                  <w:tcW w:w="976" w:type="pc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tcBorders>
                    <w:tl2br w:val="nil"/>
                    <w:tr2bl w:val="nil"/>
                  </w:tcBorders>
                  <w:noWrap w:val="0"/>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b w:val="0"/>
                      <w:bCs w:val="0"/>
                      <w:sz w:val="21"/>
                      <w:szCs w:val="21"/>
                      <w:highlight w:val="none"/>
                    </w:rPr>
                    <w:t>2</w:t>
                  </w:r>
                </w:p>
              </w:tc>
              <w:tc>
                <w:tcPr>
                  <w:tcW w:w="76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6</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干混砂浆搅拌机2t</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w:t>
                  </w:r>
                </w:p>
              </w:tc>
              <w:tc>
                <w:tcPr>
                  <w:tcW w:w="0" w:type="auto"/>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7</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提升器</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12</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8</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5t储料仓</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9</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1t储料仓</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b w:val="0"/>
                      <w:bCs w:val="0"/>
                      <w:sz w:val="21"/>
                      <w:szCs w:val="21"/>
                      <w:highlight w:val="none"/>
                    </w:rPr>
                    <w:t>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10</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粉料称重系统（其中一台带搅拌功能）</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w:t>
                  </w:r>
                </w:p>
              </w:tc>
              <w:tc>
                <w:tcPr>
                  <w:tcW w:w="768" w:type="pct"/>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11</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单驱动液压拆垛机</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2</w:t>
                  </w:r>
                </w:p>
              </w:tc>
              <w:tc>
                <w:tcPr>
                  <w:tcW w:w="768" w:type="pct"/>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12</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全自动切割锯</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0</w:t>
                  </w:r>
                </w:p>
              </w:tc>
              <w:tc>
                <w:tcPr>
                  <w:tcW w:w="768" w:type="pct"/>
                  <w:vAlign w:val="center"/>
                </w:tcPr>
                <w:p>
                  <w:pPr>
                    <w:keepNext w:val="0"/>
                    <w:keepLines w:val="0"/>
                    <w:pageBreakBefore w:val="0"/>
                    <w:kinsoku/>
                    <w:wordWrap/>
                    <w:overflowPunct/>
                    <w:topLinePunct w:val="0"/>
                    <w:bidi w:val="0"/>
                    <w:adjustRightIn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生产线暂未建成</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5"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13</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配电系统（包括电盘到设备的电缆）</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8</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8</w:t>
                  </w:r>
                </w:p>
              </w:tc>
              <w:tc>
                <w:tcPr>
                  <w:tcW w:w="768" w:type="pct"/>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14</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双提升机刮板</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rPr>
                    <w:t>1-2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15</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网格布托架</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rPr>
                    <w:t>1-2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16</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双驱动轻质保温压辊系统</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rPr>
                    <w:t>10</w:t>
                  </w:r>
                </w:p>
              </w:tc>
              <w:tc>
                <w:tcPr>
                  <w:tcW w:w="0" w:type="auto"/>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17</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自动翻转 自动进板</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18</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除尘设备</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59" w:beforeAutospacing="0" w:after="0" w:afterAutospacing="0" w:line="240" w:lineRule="auto"/>
                    <w:ind w:left="2"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19</w:t>
                  </w:r>
                </w:p>
              </w:tc>
              <w:tc>
                <w:tcPr>
                  <w:tcW w:w="1214"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平台</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pStyle w:val="3"/>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21</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eastAsia="宋体" w:cs="Times New Roman"/>
                      <w:bCs w:val="0"/>
                      <w:color w:val="auto"/>
                      <w:kern w:val="2"/>
                      <w:sz w:val="21"/>
                      <w:szCs w:val="21"/>
                      <w:highlight w:val="none"/>
                      <w:lang w:val="en-US" w:eastAsia="zh-CN" w:bidi="ar-SA"/>
                    </w:rPr>
                    <w:t>震动磨台</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22</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叠合楼板模具</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20</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eastAsia" w:cs="Times New Roman"/>
                      <w:b w:val="0"/>
                      <w:bCs w:val="0"/>
                      <w:sz w:val="21"/>
                      <w:szCs w:val="21"/>
                      <w:highlight w:val="none"/>
                      <w:lang w:val="en-US" w:eastAsia="zh-CN" w:bidi="ar-SA"/>
                    </w:rPr>
                    <w:t>0</w:t>
                  </w:r>
                </w:p>
              </w:tc>
              <w:tc>
                <w:tcPr>
                  <w:tcW w:w="0" w:type="auto"/>
                  <w:vAlign w:val="center"/>
                </w:tcPr>
                <w:p>
                  <w:pPr>
                    <w:pStyle w:val="50"/>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eastAsia="宋体" w:cs="Times New Roman"/>
                      <w:b w:val="0"/>
                      <w:bCs w:val="0"/>
                      <w:color w:val="auto"/>
                      <w:sz w:val="21"/>
                      <w:szCs w:val="21"/>
                      <w:highlight w:val="none"/>
                      <w:lang w:val="en-US" w:eastAsia="zh-CN"/>
                    </w:rPr>
                    <w:t>车间正在建设中，不在本次验收范围内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23</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布料机</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0</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车间正在建设中，不在本次验收范围内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24</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楼梯模具</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4</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0</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车间正在建设中，不在本次验收范围内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25</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混凝土输送线</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26</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航吊</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default" w:ascii="Times New Roman" w:hAnsi="Times New Roman" w:eastAsia="宋体" w:cs="Times New Roman"/>
                      <w:b w:val="0"/>
                      <w:bCs w:val="0"/>
                      <w:sz w:val="21"/>
                      <w:szCs w:val="21"/>
                      <w:highlight w:val="none"/>
                      <w:lang w:val="en-US" w:eastAsia="zh-CN" w:bidi="ar-SA"/>
                    </w:rPr>
                  </w:pPr>
                  <w:r>
                    <w:rPr>
                      <w:rFonts w:hint="default" w:ascii="Times New Roman" w:hAnsi="Times New Roman" w:cs="Times New Roman"/>
                      <w:bCs w:val="0"/>
                      <w:color w:val="auto"/>
                      <w:kern w:val="2"/>
                      <w:sz w:val="21"/>
                      <w:szCs w:val="21"/>
                      <w:highlight w:val="none"/>
                      <w:lang w:val="en-US" w:eastAsia="zh-CN" w:bidi="ar-SA"/>
                    </w:rPr>
                    <w:t>2</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b w:val="0"/>
                      <w:bCs w:val="0"/>
                      <w:sz w:val="21"/>
                      <w:szCs w:val="21"/>
                      <w:highlight w:val="none"/>
                      <w:lang w:val="en-US" w:eastAsia="zh-CN" w:bidi="ar-SA"/>
                    </w:rPr>
                  </w:pPr>
                  <w:r>
                    <w:rPr>
                      <w:rFonts w:hint="eastAsia"/>
                      <w:b w:val="0"/>
                      <w:bCs w:val="0"/>
                      <w:sz w:val="21"/>
                      <w:szCs w:val="21"/>
                      <w:highlight w:val="none"/>
                      <w:lang w:val="en-US" w:eastAsia="zh-CN"/>
                    </w:rPr>
                    <w:t>0</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both"/>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车间正在建设中，不在本次验收范围内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eastAsia="宋体" w:cs="Times New Roman"/>
                      <w:b w:val="0"/>
                      <w:bCs w:val="0"/>
                      <w:color w:val="auto"/>
                      <w:sz w:val="21"/>
                      <w:szCs w:val="21"/>
                      <w:highlight w:val="none"/>
                      <w:lang w:val="en-US" w:eastAsia="zh-CN"/>
                    </w:rPr>
                  </w:pPr>
                  <w:bookmarkStart w:id="27" w:name="_Toc15631"/>
                  <w:r>
                    <w:rPr>
                      <w:rFonts w:hint="default" w:ascii="Times New Roman" w:hAnsi="Times New Roman" w:cs="Times New Roman"/>
                      <w:bCs w:val="0"/>
                      <w:color w:val="auto"/>
                      <w:kern w:val="2"/>
                      <w:sz w:val="21"/>
                      <w:szCs w:val="21"/>
                      <w:highlight w:val="none"/>
                      <w:lang w:val="en-US" w:eastAsia="zh-CN" w:bidi="ar-SA"/>
                    </w:rPr>
                    <w:t>27</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计量配料机</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28</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搅拌机</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2</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29</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hanging="239" w:hangingChars="114"/>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养护房</w:t>
                  </w:r>
                </w:p>
                <w:p>
                  <w:pPr>
                    <w:pStyle w:val="49"/>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420" w:firstLineChars="200"/>
                    <w:jc w:val="center"/>
                    <w:textAlignment w:val="auto"/>
                    <w:rPr>
                      <w:rFonts w:hint="eastAsia"/>
                      <w:b w:val="0"/>
                      <w:bCs w:val="0"/>
                      <w:sz w:val="21"/>
                      <w:szCs w:val="21"/>
                      <w:highlight w:val="none"/>
                    </w:rPr>
                  </w:pP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rPr>
                  </w:pPr>
                  <w:r>
                    <w:rPr>
                      <w:rFonts w:hint="default" w:ascii="Times New Roman" w:hAnsi="Times New Roman" w:cs="Times New Roman"/>
                      <w:color w:val="auto"/>
                      <w:sz w:val="21"/>
                      <w:szCs w:val="21"/>
                      <w:highlight w:val="none"/>
                      <w:lang w:eastAsia="zh-CN"/>
                    </w:rPr>
                    <w:t>座</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eastAsia" w:cs="Times New Roman"/>
                      <w:b w:val="0"/>
                      <w:bCs w:val="0"/>
                      <w:color w:val="auto"/>
                      <w:sz w:val="21"/>
                      <w:szCs w:val="21"/>
                      <w:highlight w:val="none"/>
                      <w:lang w:val="en-US" w:eastAsia="zh-CN" w:bidi="ar-SA"/>
                    </w:rPr>
                  </w:pPr>
                  <w:r>
                    <w:rPr>
                      <w:rFonts w:hint="eastAsia" w:eastAsia="宋体" w:cs="Times New Roman"/>
                      <w:b w:val="0"/>
                      <w:bCs w:val="0"/>
                      <w:color w:val="auto"/>
                      <w:sz w:val="21"/>
                      <w:szCs w:val="21"/>
                      <w:highlight w:val="none"/>
                      <w:lang w:val="en-US" w:eastAsia="zh-CN"/>
                    </w:rPr>
                    <w:t>车间正在建设中，不在本次验收范围内</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30</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水泥储存罐</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1</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1</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1" w:hRule="atLeast"/>
                <w:jc w:val="center"/>
              </w:trPr>
              <w:tc>
                <w:tcPr>
                  <w:tcW w:w="495"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cs="Times New Roman"/>
                      <w:bCs w:val="0"/>
                      <w:color w:val="auto"/>
                      <w:kern w:val="2"/>
                      <w:sz w:val="21"/>
                      <w:szCs w:val="21"/>
                      <w:highlight w:val="none"/>
                      <w:lang w:val="en-US" w:eastAsia="zh-CN" w:bidi="ar-SA"/>
                    </w:rPr>
                    <w:t>31</w:t>
                  </w:r>
                </w:p>
              </w:tc>
              <w:tc>
                <w:tcPr>
                  <w:tcW w:w="1214"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螺旋输送机</w:t>
                  </w:r>
                </w:p>
              </w:tc>
              <w:tc>
                <w:tcPr>
                  <w:tcW w:w="976" w:type="pct"/>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rPr>
                  </w:pPr>
                  <w:r>
                    <w:rPr>
                      <w:rFonts w:hint="default" w:ascii="Times New Roman" w:hAnsi="Times New Roman" w:cs="Times New Roman"/>
                      <w:color w:val="auto"/>
                      <w:sz w:val="21"/>
                      <w:szCs w:val="21"/>
                      <w:highlight w:val="none"/>
                    </w:rPr>
                    <w:t>台（套）</w:t>
                  </w:r>
                </w:p>
              </w:tc>
              <w:tc>
                <w:tcPr>
                  <w:tcW w:w="776" w:type="pct"/>
                  <w:vAlign w:val="center"/>
                </w:tcPr>
                <w:p>
                  <w:pPr>
                    <w:keepNext w:val="0"/>
                    <w:keepLines w:val="0"/>
                    <w:pageBreakBefore w:val="0"/>
                    <w:suppressLineNumbers w:val="0"/>
                    <w:kinsoku/>
                    <w:wordWrap/>
                    <w:overflowPunct/>
                    <w:topLinePunct w:val="0"/>
                    <w:bidi w:val="0"/>
                    <w:spacing w:before="100" w:beforeAutospacing="1" w:after="0" w:afterAutospacing="0" w:line="240" w:lineRule="auto"/>
                    <w:ind w:left="-35" w:leftChars="-114" w:right="0" w:rightChars="0" w:hanging="239" w:hangingChars="114"/>
                    <w:jc w:val="center"/>
                    <w:textAlignment w:val="auto"/>
                    <w:rPr>
                      <w:rFonts w:hint="eastAsia"/>
                      <w:b w:val="0"/>
                      <w:bCs w:val="0"/>
                      <w:sz w:val="21"/>
                      <w:szCs w:val="21"/>
                      <w:highlight w:val="none"/>
                    </w:rPr>
                  </w:pPr>
                  <w:r>
                    <w:rPr>
                      <w:rFonts w:hint="default" w:ascii="Times New Roman" w:hAnsi="Times New Roman" w:cs="Times New Roman"/>
                      <w:bCs w:val="0"/>
                      <w:color w:val="auto"/>
                      <w:kern w:val="2"/>
                      <w:sz w:val="21"/>
                      <w:szCs w:val="21"/>
                      <w:highlight w:val="none"/>
                      <w:lang w:val="en-US" w:eastAsia="zh-CN" w:bidi="ar-SA"/>
                    </w:rPr>
                    <w:t>2</w:t>
                  </w:r>
                </w:p>
              </w:tc>
              <w:tc>
                <w:tcPr>
                  <w:tcW w:w="0" w:type="auto"/>
                  <w:vAlign w:val="center"/>
                </w:tcPr>
                <w:p>
                  <w:pPr>
                    <w:keepNext w:val="0"/>
                    <w:keepLines w:val="0"/>
                    <w:pageBreakBefore w:val="0"/>
                    <w:kinsoku/>
                    <w:wordWrap/>
                    <w:overflowPunct/>
                    <w:topLinePunct w:val="0"/>
                    <w:bidi w:val="0"/>
                    <w:spacing w:line="240" w:lineRule="auto"/>
                    <w:ind w:firstLine="0" w:firstLineChars="0"/>
                    <w:jc w:val="center"/>
                    <w:textAlignment w:val="auto"/>
                    <w:rPr>
                      <w:rFonts w:hint="default"/>
                      <w:b w:val="0"/>
                      <w:bCs w:val="0"/>
                      <w:sz w:val="21"/>
                      <w:szCs w:val="21"/>
                      <w:highlight w:val="none"/>
                      <w:lang w:val="en-US" w:eastAsia="zh-CN"/>
                    </w:rPr>
                  </w:pPr>
                  <w:r>
                    <w:rPr>
                      <w:rFonts w:hint="eastAsia"/>
                      <w:b w:val="0"/>
                      <w:bCs w:val="0"/>
                      <w:sz w:val="21"/>
                      <w:szCs w:val="21"/>
                      <w:highlight w:val="none"/>
                      <w:lang w:val="en-US" w:eastAsia="zh-CN"/>
                    </w:rPr>
                    <w:t>2</w:t>
                  </w:r>
                </w:p>
              </w:tc>
              <w:tc>
                <w:tcPr>
                  <w:tcW w:w="0" w:type="auto"/>
                  <w:vAlign w:val="center"/>
                </w:tcPr>
                <w:p>
                  <w:pPr>
                    <w:keepNext w:val="0"/>
                    <w:keepLines w:val="0"/>
                    <w:pageBreakBefore w:val="0"/>
                    <w:kinsoku/>
                    <w:wordWrap/>
                    <w:overflowPunct/>
                    <w:topLinePunct w:val="0"/>
                    <w:bidi w:val="0"/>
                    <w:adjustRightInd/>
                    <w:spacing w:line="240" w:lineRule="auto"/>
                    <w:ind w:firstLine="0" w:firstLineChars="0"/>
                    <w:jc w:val="center"/>
                    <w:textAlignment w:val="auto"/>
                    <w:rPr>
                      <w:rFonts w:hint="default" w:cs="Times New Roman"/>
                      <w:b w:val="0"/>
                      <w:bCs w:val="0"/>
                      <w:color w:val="auto"/>
                      <w:sz w:val="21"/>
                      <w:szCs w:val="21"/>
                      <w:highlight w:val="none"/>
                      <w:lang w:val="en-US" w:eastAsia="zh-CN" w:bidi="ar-SA"/>
                    </w:rPr>
                  </w:pPr>
                  <w:r>
                    <w:rPr>
                      <w:rFonts w:hint="eastAsia" w:cs="Times New Roman"/>
                      <w:b w:val="0"/>
                      <w:bCs w:val="0"/>
                      <w:color w:val="auto"/>
                      <w:sz w:val="21"/>
                      <w:szCs w:val="21"/>
                      <w:highlight w:val="none"/>
                      <w:lang w:val="en-US" w:eastAsia="zh-CN" w:bidi="ar-SA"/>
                    </w:rPr>
                    <w:t>一致</w:t>
                  </w:r>
                </w:p>
              </w:tc>
            </w:tr>
          </w:tbl>
          <w:p>
            <w:pPr>
              <w:pStyle w:val="6"/>
              <w:widowControl w:val="0"/>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2.4原辅材料及能耗</w:t>
            </w:r>
            <w:bookmarkEnd w:id="27"/>
          </w:p>
          <w:p>
            <w:pPr>
              <w:widowControl w:val="0"/>
              <w:ind w:firstLine="480"/>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项目</w:t>
            </w:r>
            <w:r>
              <w:rPr>
                <w:rFonts w:hint="eastAsia" w:cs="Times New Roman"/>
                <w:color w:val="auto"/>
                <w:kern w:val="2"/>
                <w:sz w:val="24"/>
                <w:szCs w:val="24"/>
                <w:u w:val="none"/>
                <w:lang w:val="en-US" w:eastAsia="zh-CN" w:bidi="ar-SA"/>
              </w:rPr>
              <w:t>原辅材料</w:t>
            </w:r>
            <w:r>
              <w:rPr>
                <w:rFonts w:hint="default" w:ascii="Times New Roman" w:hAnsi="Times New Roman" w:cs="Times New Roman"/>
                <w:color w:val="auto"/>
                <w:kern w:val="2"/>
                <w:sz w:val="24"/>
                <w:szCs w:val="24"/>
                <w:u w:val="none"/>
                <w:lang w:val="en-US" w:eastAsia="zh-CN" w:bidi="ar-SA"/>
              </w:rPr>
              <w:t>消耗情况见表</w:t>
            </w:r>
            <w:r>
              <w:rPr>
                <w:rFonts w:hint="eastAsia" w:ascii="宋体" w:hAnsi="宋体" w:eastAsia="宋体" w:cs="宋体"/>
                <w:color w:val="auto"/>
                <w:lang w:val="en-US" w:eastAsia="zh-CN"/>
              </w:rPr>
              <w:t>2-3所示</w:t>
            </w:r>
            <w:r>
              <w:rPr>
                <w:rFonts w:hint="default" w:ascii="Times New Roman" w:hAnsi="Times New Roman" w:eastAsia="宋体" w:cs="Times New Roman"/>
                <w:color w:val="auto"/>
                <w:kern w:val="2"/>
                <w:sz w:val="24"/>
                <w:szCs w:val="24"/>
                <w:u w:val="none"/>
                <w:lang w:val="en-US" w:eastAsia="zh-CN" w:bidi="ar-SA"/>
              </w:rPr>
              <w:t>。</w:t>
            </w:r>
          </w:p>
          <w:p>
            <w:pPr>
              <w:keepNext w:val="0"/>
              <w:keepLines w:val="0"/>
              <w:widowControl w:val="0"/>
              <w:suppressLineNumbers w:val="0"/>
              <w:spacing w:before="0" w:beforeAutospacing="0" w:after="0" w:afterAutospacing="0" w:line="360" w:lineRule="auto"/>
              <w:ind w:left="0" w:right="0" w:firstLine="369" w:firstLineChars="175"/>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2-3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lang w:eastAsia="zh-CN"/>
              </w:rPr>
              <w:t>项目能源消耗情况</w:t>
            </w:r>
          </w:p>
          <w:tbl>
            <w:tblPr>
              <w:tblStyle w:val="23"/>
              <w:tblW w:w="857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364"/>
              <w:gridCol w:w="827"/>
              <w:gridCol w:w="949"/>
              <w:gridCol w:w="1239"/>
              <w:gridCol w:w="1476"/>
              <w:gridCol w:w="20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7"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b/>
                      <w:bCs/>
                      <w:sz w:val="21"/>
                      <w:szCs w:val="21"/>
                    </w:rPr>
                  </w:pPr>
                  <w:bookmarkStart w:id="28" w:name="_Toc28058"/>
                  <w:r>
                    <w:rPr>
                      <w:rFonts w:hint="default" w:ascii="Times New Roman" w:hAnsi="Times New Roman" w:cs="Times New Roman"/>
                      <w:sz w:val="21"/>
                      <w:szCs w:val="21"/>
                    </w:rPr>
                    <w:t>序号</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eastAsia" w:cs="Times New Roman"/>
                      <w:sz w:val="21"/>
                      <w:szCs w:val="21"/>
                      <w:lang w:val="en-US" w:eastAsia="zh-CN"/>
                    </w:rPr>
                    <w:t>环评设计</w:t>
                  </w:r>
                  <w:r>
                    <w:rPr>
                      <w:rFonts w:hint="default" w:ascii="Times New Roman" w:hAnsi="Times New Roman" w:cs="Times New Roman"/>
                      <w:sz w:val="21"/>
                      <w:szCs w:val="21"/>
                    </w:rPr>
                    <w:t>年耗量</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实际年耗量</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储运方式</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水泥</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沙子</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聚苯颗粒</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胶粉</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钢筋</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72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1.3</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石粉</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722" w:type="pct"/>
                  <w:noWrap w:val="0"/>
                  <w:vAlign w:val="top"/>
                </w:tcPr>
                <w:p>
                  <w:pPr>
                    <w:keepNext w:val="0"/>
                    <w:keepLines w:val="0"/>
                    <w:suppressLineNumbers w:val="0"/>
                    <w:spacing w:before="0" w:beforeAutospacing="0" w:after="0" w:afterAutospacing="0"/>
                    <w:ind w:left="0" w:leftChars="0" w:right="0" w:rightChars="0" w:firstLine="0" w:firstLineChars="0"/>
                    <w:contextualSpacing/>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7.6</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383"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795"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石子</w:t>
                  </w:r>
                </w:p>
              </w:tc>
              <w:tc>
                <w:tcPr>
                  <w:tcW w:w="482"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万</w:t>
                  </w:r>
                  <w:r>
                    <w:rPr>
                      <w:rFonts w:hint="default" w:ascii="Times New Roman" w:hAnsi="Times New Roman" w:cs="Times New Roman"/>
                      <w:sz w:val="21"/>
                      <w:szCs w:val="21"/>
                      <w:lang w:val="en-US" w:eastAsia="zh-CN"/>
                    </w:rPr>
                    <w:t>t/a</w:t>
                  </w:r>
                </w:p>
              </w:tc>
              <w:tc>
                <w:tcPr>
                  <w:tcW w:w="55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c>
                <w:tcPr>
                  <w:tcW w:w="722" w:type="pct"/>
                  <w:noWrap w:val="0"/>
                  <w:vAlign w:val="top"/>
                </w:tcPr>
                <w:p>
                  <w:pPr>
                    <w:keepNext w:val="0"/>
                    <w:keepLines w:val="0"/>
                    <w:suppressLineNumbers w:val="0"/>
                    <w:spacing w:before="0" w:beforeAutospacing="0" w:after="0" w:afterAutospacing="0"/>
                    <w:ind w:left="0" w:leftChars="0" w:right="0" w:rightChars="0" w:firstLine="0" w:firstLineChars="0"/>
                    <w:contextualSpacing/>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4.6</w:t>
                  </w:r>
                </w:p>
              </w:tc>
              <w:tc>
                <w:tcPr>
                  <w:tcW w:w="860" w:type="pct"/>
                  <w:noWrap w:val="0"/>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汽车运输</w:t>
                  </w:r>
                </w:p>
              </w:tc>
              <w:tc>
                <w:tcPr>
                  <w:tcW w:w="1203" w:type="pct"/>
                  <w:noWrap w:val="0"/>
                  <w:vAlign w:val="top"/>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sz w:val="21"/>
                      <w:szCs w:val="21"/>
                    </w:rPr>
                  </w:pPr>
                  <w:r>
                    <w:rPr>
                      <w:rFonts w:hint="default" w:ascii="Times New Roman" w:hAnsi="Times New Roman" w:cs="Times New Roman"/>
                      <w:sz w:val="21"/>
                      <w:szCs w:val="21"/>
                    </w:rPr>
                    <w:t>外购</w:t>
                  </w:r>
                </w:p>
              </w:tc>
            </w:tr>
          </w:tbl>
          <w:p>
            <w:pPr>
              <w:pStyle w:val="7"/>
              <w:widowControl w:val="0"/>
              <w:spacing w:before="0" w:after="0" w:line="360" w:lineRule="auto"/>
              <w:ind w:firstLine="482" w:firstLineChars="200"/>
              <w:rPr>
                <w:bCs/>
                <w:kern w:val="2"/>
                <w:szCs w:val="24"/>
              </w:rPr>
            </w:pPr>
            <w:r>
              <w:rPr>
                <w:rFonts w:hint="eastAsia" w:ascii="Times New Roman" w:hAnsi="Times New Roman" w:cs="Times New Roman"/>
                <w:b/>
                <w:color w:val="auto"/>
                <w:sz w:val="24"/>
                <w:szCs w:val="24"/>
                <w:lang w:val="en-US" w:eastAsia="zh-CN"/>
              </w:rPr>
              <w:t>2.5</w:t>
            </w:r>
            <w:r>
              <w:rPr>
                <w:rFonts w:hint="default" w:ascii="Times New Roman" w:hAnsi="Times New Roman" w:cs="Times New Roman"/>
                <w:b/>
                <w:color w:val="auto"/>
                <w:sz w:val="24"/>
                <w:szCs w:val="24"/>
                <w:lang w:val="en-US" w:eastAsia="zh-CN"/>
              </w:rPr>
              <w:t>、</w:t>
            </w:r>
            <w:r>
              <w:t>产品方案及规模</w:t>
            </w:r>
            <w:bookmarkEnd w:id="28"/>
          </w:p>
          <w:p>
            <w:pPr>
              <w:widowControl w:val="0"/>
              <w:spacing w:line="360" w:lineRule="auto"/>
              <w:ind w:firstLine="480" w:firstLineChars="200"/>
              <w:rPr>
                <w:sz w:val="24"/>
              </w:rPr>
            </w:pPr>
            <w:r>
              <w:rPr>
                <w:sz w:val="24"/>
              </w:rPr>
              <w:t>本项目产品为钢结构、设备配件、彩钢夹芯板。</w:t>
            </w:r>
          </w:p>
          <w:p>
            <w:pPr>
              <w:widowControl w:val="0"/>
              <w:spacing w:line="360" w:lineRule="auto"/>
              <w:ind w:firstLine="482" w:firstLineChars="200"/>
              <w:jc w:val="center"/>
              <w:rPr>
                <w:b/>
                <w:bCs/>
                <w:szCs w:val="21"/>
              </w:rPr>
            </w:pPr>
            <w:r>
              <w:rPr>
                <w:b/>
                <w:bCs/>
                <w:szCs w:val="21"/>
              </w:rPr>
              <w:t>表</w:t>
            </w:r>
            <w:r>
              <w:rPr>
                <w:rFonts w:hint="eastAsia"/>
                <w:b/>
                <w:bCs/>
                <w:szCs w:val="21"/>
                <w:lang w:val="en-US" w:eastAsia="zh-CN"/>
              </w:rPr>
              <w:t>2-4</w:t>
            </w:r>
            <w:r>
              <w:rPr>
                <w:b/>
                <w:bCs/>
                <w:szCs w:val="21"/>
              </w:rPr>
              <w:t xml:space="preserve">     项目产品方案一览表</w:t>
            </w:r>
          </w:p>
          <w:tbl>
            <w:tblPr>
              <w:tblStyle w:val="23"/>
              <w:tblW w:w="87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39"/>
              <w:gridCol w:w="1603"/>
              <w:gridCol w:w="2167"/>
              <w:gridCol w:w="1797"/>
              <w:gridCol w:w="1245"/>
              <w:gridCol w:w="12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atLeast"/>
                <w:jc w:val="center"/>
              </w:trPr>
              <w:tc>
                <w:tcPr>
                  <w:tcW w:w="4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序号</w:t>
                  </w:r>
                </w:p>
              </w:tc>
              <w:tc>
                <w:tcPr>
                  <w:tcW w:w="9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原料名称</w:t>
                  </w:r>
                </w:p>
              </w:tc>
              <w:tc>
                <w:tcPr>
                  <w:tcW w:w="12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eastAsia" w:cs="Times New Roman"/>
                      <w:szCs w:val="21"/>
                      <w:lang w:val="en-US" w:eastAsia="zh-CN"/>
                    </w:rPr>
                    <w:t>环评设计</w:t>
                  </w:r>
                  <w:r>
                    <w:rPr>
                      <w:rFonts w:hint="default" w:ascii="Times New Roman" w:hAnsi="Times New Roman" w:cs="Times New Roman"/>
                      <w:szCs w:val="21"/>
                      <w:lang w:val="en-US" w:eastAsia="zh-CN"/>
                    </w:rPr>
                    <w:t>生产能力</w:t>
                  </w:r>
                </w:p>
              </w:tc>
              <w:tc>
                <w:tcPr>
                  <w:tcW w:w="10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实际生产能力</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年运行天数</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4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1</w:t>
                  </w:r>
                </w:p>
              </w:tc>
              <w:tc>
                <w:tcPr>
                  <w:tcW w:w="9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PC构件</w:t>
                  </w:r>
                </w:p>
              </w:tc>
              <w:tc>
                <w:tcPr>
                  <w:tcW w:w="12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3.5万t</w:t>
                  </w:r>
                </w:p>
              </w:tc>
              <w:tc>
                <w:tcPr>
                  <w:tcW w:w="10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cs="Times New Roman"/>
                      <w:szCs w:val="21"/>
                      <w:lang w:val="en-US" w:eastAsia="zh-CN"/>
                    </w:rPr>
                  </w:pPr>
                  <w:r>
                    <w:rPr>
                      <w:rFonts w:hint="eastAsia" w:cs="Times New Roman"/>
                      <w:szCs w:val="21"/>
                      <w:lang w:val="en-US" w:eastAsia="zh-CN"/>
                    </w:rPr>
                    <w:t>0</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cs="Times New Roman"/>
                      <w:szCs w:val="21"/>
                      <w:lang w:val="en-US" w:eastAsia="zh-CN"/>
                    </w:rPr>
                  </w:pPr>
                  <w:r>
                    <w:rPr>
                      <w:rFonts w:hint="eastAsia" w:cs="Times New Roman"/>
                      <w:szCs w:val="21"/>
                      <w:lang w:val="en-US" w:eastAsia="zh-CN"/>
                    </w:rPr>
                    <w:t>不在本次 验收范围内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4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2</w:t>
                  </w:r>
                </w:p>
              </w:tc>
              <w:tc>
                <w:tcPr>
                  <w:tcW w:w="9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混凝土</w:t>
                  </w:r>
                </w:p>
              </w:tc>
              <w:tc>
                <w:tcPr>
                  <w:tcW w:w="12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5万</w:t>
                  </w:r>
                  <w:r>
                    <w:rPr>
                      <w:rFonts w:hint="default" w:ascii="Times New Roman" w:hAnsi="Times New Roman" w:cs="Times New Roman"/>
                      <w:szCs w:val="21"/>
                      <w:lang w:val="en-US" w:eastAsia="zh-CN"/>
                    </w:rPr>
                    <w:t>m</w:t>
                  </w:r>
                  <w:r>
                    <w:rPr>
                      <w:rFonts w:hint="default" w:ascii="Times New Roman" w:hAnsi="Times New Roman" w:cs="Times New Roman"/>
                      <w:szCs w:val="21"/>
                      <w:vertAlign w:val="superscript"/>
                      <w:lang w:val="en-US" w:eastAsia="zh-CN"/>
                    </w:rPr>
                    <w:t>2</w:t>
                  </w:r>
                </w:p>
              </w:tc>
              <w:tc>
                <w:tcPr>
                  <w:tcW w:w="10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cs="Times New Roman"/>
                      <w:szCs w:val="21"/>
                      <w:lang w:val="en-US" w:eastAsia="zh-CN"/>
                    </w:rPr>
                  </w:pPr>
                  <w:r>
                    <w:rPr>
                      <w:rFonts w:hint="eastAsia" w:cs="Times New Roman"/>
                      <w:szCs w:val="21"/>
                      <w:lang w:val="en-US" w:eastAsia="zh-CN"/>
                    </w:rPr>
                    <w:t>5</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300</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eastAsia" w:cs="Times New Roman"/>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89" w:hRule="atLeast"/>
                <w:jc w:val="center"/>
              </w:trPr>
              <w:tc>
                <w:tcPr>
                  <w:tcW w:w="4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eastAsia" w:cs="Times New Roman"/>
                      <w:szCs w:val="21"/>
                      <w:lang w:val="en-US" w:eastAsia="zh-CN"/>
                    </w:rPr>
                    <w:t>3</w:t>
                  </w:r>
                </w:p>
              </w:tc>
              <w:tc>
                <w:tcPr>
                  <w:tcW w:w="9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eastAsia" w:cs="Times New Roman"/>
                      <w:szCs w:val="21"/>
                      <w:lang w:val="en-US" w:eastAsia="zh-CN"/>
                    </w:rPr>
                    <w:t>免拆模板复合保温墙板</w:t>
                  </w:r>
                </w:p>
              </w:tc>
              <w:tc>
                <w:tcPr>
                  <w:tcW w:w="12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60万m</w:t>
                  </w:r>
                  <w:r>
                    <w:rPr>
                      <w:rFonts w:hint="default" w:ascii="Times New Roman" w:hAnsi="Times New Roman" w:cs="Times New Roman"/>
                      <w:szCs w:val="21"/>
                      <w:vertAlign w:val="superscript"/>
                      <w:lang w:val="en-US" w:eastAsia="zh-CN"/>
                    </w:rPr>
                    <w:t>2</w:t>
                  </w:r>
                </w:p>
              </w:tc>
              <w:tc>
                <w:tcPr>
                  <w:tcW w:w="10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0</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eastAsia" w:ascii="Times New Roman" w:hAnsi="Times New Roman" w:eastAsia="宋体" w:cs="Times New Roman"/>
                      <w:szCs w:val="21"/>
                      <w:lang w:val="en-US" w:eastAsia="zh-CN"/>
                    </w:rPr>
                  </w:pPr>
                  <w:r>
                    <w:rPr>
                      <w:rFonts w:hint="eastAsia" w:cs="Times New Roman"/>
                      <w:szCs w:val="21"/>
                      <w:lang w:val="en-US" w:eastAsia="zh-CN"/>
                    </w:rPr>
                    <w:t>/</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不在本次 验收范围内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2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eastAsia" w:cs="Times New Roman"/>
                      <w:szCs w:val="21"/>
                      <w:lang w:val="en-US" w:eastAsia="zh-CN"/>
                    </w:rPr>
                    <w:t>4</w:t>
                  </w:r>
                </w:p>
              </w:tc>
              <w:tc>
                <w:tcPr>
                  <w:tcW w:w="91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叠合楼板</w:t>
                  </w:r>
                </w:p>
              </w:tc>
              <w:tc>
                <w:tcPr>
                  <w:tcW w:w="123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default" w:ascii="Times New Roman" w:hAnsi="Times New Roman" w:cs="Times New Roman"/>
                      <w:szCs w:val="21"/>
                      <w:lang w:val="en-US" w:eastAsia="zh-CN"/>
                    </w:rPr>
                    <w:t>40万m</w:t>
                  </w:r>
                  <w:r>
                    <w:rPr>
                      <w:rFonts w:hint="default" w:ascii="Times New Roman" w:hAnsi="Times New Roman" w:cs="Times New Roman"/>
                      <w:szCs w:val="21"/>
                      <w:vertAlign w:val="superscript"/>
                      <w:lang w:val="en-US" w:eastAsia="zh-CN"/>
                    </w:rPr>
                    <w:t>2</w:t>
                  </w:r>
                </w:p>
              </w:tc>
              <w:tc>
                <w:tcPr>
                  <w:tcW w:w="10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0</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cs="Times New Roman"/>
                      <w:szCs w:val="21"/>
                    </w:rPr>
                  </w:pPr>
                  <w:r>
                    <w:rPr>
                      <w:rFonts w:hint="eastAsia" w:cs="Times New Roman"/>
                      <w:szCs w:val="21"/>
                      <w:lang w:val="en-US" w:eastAsia="zh-CN"/>
                    </w:rPr>
                    <w:t>/</w:t>
                  </w:r>
                </w:p>
              </w:tc>
              <w:tc>
                <w:tcPr>
                  <w:tcW w:w="7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auto"/>
                    <w:rPr>
                      <w:rFonts w:hint="default" w:ascii="Times New Roman" w:hAnsi="Times New Roman" w:cs="Times New Roman"/>
                      <w:szCs w:val="21"/>
                      <w:lang w:val="en-US" w:eastAsia="zh-CN"/>
                    </w:rPr>
                  </w:pPr>
                  <w:r>
                    <w:rPr>
                      <w:rFonts w:hint="eastAsia" w:cs="Times New Roman"/>
                      <w:szCs w:val="21"/>
                      <w:lang w:val="en-US" w:eastAsia="zh-CN"/>
                    </w:rPr>
                    <w:t>不在本次 验收范围内</w:t>
                  </w:r>
                </w:p>
              </w:tc>
            </w:tr>
          </w:tbl>
          <w:p>
            <w:pPr>
              <w:widowControl w:val="0"/>
              <w:adjustRightInd w:val="0"/>
              <w:snapToGrid w:val="0"/>
              <w:spacing w:line="360" w:lineRule="auto"/>
              <w:ind w:firstLine="480" w:firstLineChars="200"/>
              <w:rPr>
                <w:sz w:val="24"/>
              </w:rPr>
            </w:pPr>
          </w:p>
          <w:p>
            <w:pPr>
              <w:pStyle w:val="6"/>
              <w:widowControl w:val="0"/>
              <w:bidi w:val="0"/>
              <w:rPr>
                <w:rFonts w:hint="eastAsia"/>
              </w:rPr>
            </w:pPr>
            <w:bookmarkStart w:id="29" w:name="_Toc14584"/>
            <w:r>
              <w:rPr>
                <w:rFonts w:hint="eastAsia"/>
                <w:lang w:val="en-US" w:eastAsia="zh-CN"/>
              </w:rPr>
              <w:t>2.5</w:t>
            </w:r>
            <w:r>
              <w:rPr>
                <w:rFonts w:hint="eastAsia"/>
              </w:rPr>
              <w:t>环保设施投资情况</w:t>
            </w:r>
            <w:bookmarkEnd w:id="29"/>
          </w:p>
          <w:p>
            <w:pPr>
              <w:widowControl w:val="0"/>
              <w:spacing w:line="360" w:lineRule="auto"/>
              <w:ind w:firstLine="480" w:firstLineChars="200"/>
              <w:rPr>
                <w:sz w:val="24"/>
              </w:rPr>
            </w:pPr>
            <w:r>
              <w:rPr>
                <w:rFonts w:hint="eastAsia" w:ascii="宋体" w:hAnsi="宋体" w:eastAsia="宋体" w:cs="宋体"/>
                <w:color w:val="auto"/>
              </w:rPr>
              <w:t>项目总投资</w:t>
            </w:r>
            <w:r>
              <w:rPr>
                <w:rFonts w:hint="eastAsia" w:ascii="宋体" w:hAnsi="宋体" w:cs="宋体"/>
                <w:color w:val="auto"/>
                <w:lang w:val="en-US" w:eastAsia="zh-CN"/>
              </w:rPr>
              <w:t>8000万元</w:t>
            </w:r>
            <w:r>
              <w:rPr>
                <w:rFonts w:hint="eastAsia" w:ascii="宋体" w:hAnsi="宋体" w:eastAsia="宋体" w:cs="宋体"/>
                <w:color w:val="auto"/>
                <w:lang w:eastAsia="zh-CN"/>
              </w:rPr>
              <w:t>，环评设计环保投资</w:t>
            </w:r>
            <w:r>
              <w:rPr>
                <w:rFonts w:hint="eastAsia" w:ascii="宋体" w:hAnsi="宋体" w:cs="宋体"/>
                <w:color w:val="auto"/>
                <w:lang w:val="en-US" w:eastAsia="zh-CN"/>
              </w:rPr>
              <w:t>125万元</w:t>
            </w:r>
            <w:r>
              <w:rPr>
                <w:rFonts w:hint="eastAsia" w:ascii="宋体" w:hAnsi="宋体" w:eastAsia="宋体" w:cs="宋体"/>
                <w:color w:val="auto"/>
                <w:lang w:val="en-US" w:eastAsia="zh-CN"/>
              </w:rPr>
              <w:t>，</w:t>
            </w:r>
            <w:r>
              <w:rPr>
                <w:rFonts w:hint="eastAsia" w:ascii="宋体" w:hAnsi="宋体" w:eastAsia="宋体" w:cs="宋体"/>
                <w:color w:val="auto"/>
                <w:lang w:eastAsia="zh-CN"/>
              </w:rPr>
              <w:t>约占总投资的</w:t>
            </w:r>
            <w:r>
              <w:rPr>
                <w:rFonts w:hint="eastAsia" w:ascii="宋体" w:hAnsi="宋体" w:cs="宋体"/>
                <w:color w:val="auto"/>
                <w:lang w:val="en-US" w:eastAsia="zh-CN"/>
              </w:rPr>
              <w:t>0.15</w:t>
            </w:r>
            <w:r>
              <w:rPr>
                <w:rFonts w:hint="eastAsia" w:ascii="宋体" w:hAnsi="宋体" w:eastAsia="宋体" w:cs="宋体"/>
                <w:color w:val="auto"/>
                <w:lang w:val="en-US" w:eastAsia="zh-CN"/>
              </w:rPr>
              <w:t>%。</w:t>
            </w:r>
            <w:r>
              <w:rPr>
                <w:sz w:val="24"/>
              </w:rPr>
              <w:t>环保投资情况见表5。</w:t>
            </w:r>
          </w:p>
          <w:p>
            <w:pPr>
              <w:widowControl w:val="0"/>
              <w:bidi w:val="0"/>
              <w:ind w:firstLine="482" w:firstLineChars="200"/>
              <w:jc w:val="center"/>
              <w:rPr>
                <w:rFonts w:hint="default" w:ascii="宋体" w:hAnsi="宋体" w:eastAsia="宋体" w:cs="宋体"/>
                <w:b/>
                <w:bCs/>
                <w:color w:val="auto"/>
                <w:lang w:val="en-US" w:eastAsia="zh-CN"/>
              </w:rPr>
            </w:pPr>
            <w:r>
              <w:rPr>
                <w:rFonts w:hint="eastAsia" w:ascii="宋体" w:hAnsi="宋体" w:cs="宋体"/>
                <w:b/>
                <w:bCs/>
                <w:color w:val="auto"/>
                <w:lang w:val="en-US" w:eastAsia="zh-CN"/>
              </w:rPr>
              <w:t>表2-5       环保投资一览表</w:t>
            </w:r>
          </w:p>
          <w:tbl>
            <w:tblPr>
              <w:tblStyle w:val="23"/>
              <w:tblW w:w="8438" w:type="dxa"/>
              <w:tblInd w:w="5"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643"/>
              <w:gridCol w:w="1589"/>
              <w:gridCol w:w="3292"/>
              <w:gridCol w:w="191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617" w:hRule="atLeast"/>
              </w:trPr>
              <w:tc>
                <w:tcPr>
                  <w:tcW w:w="1643" w:type="dxa"/>
                  <w:tcBorders>
                    <w:tl2br w:val="nil"/>
                    <w:tr2bl w:val="nil"/>
                  </w:tcBorders>
                  <w:noWrap w:val="0"/>
                  <w:vAlign w:val="center"/>
                </w:tcPr>
                <w:p>
                  <w:pPr>
                    <w:pStyle w:val="44"/>
                  </w:pPr>
                  <w:r>
                    <w:t>项    目</w:t>
                  </w:r>
                </w:p>
              </w:tc>
              <w:tc>
                <w:tcPr>
                  <w:tcW w:w="4881" w:type="dxa"/>
                  <w:gridSpan w:val="2"/>
                  <w:tcBorders>
                    <w:tl2br w:val="nil"/>
                    <w:tr2bl w:val="nil"/>
                  </w:tcBorders>
                  <w:noWrap w:val="0"/>
                  <w:vAlign w:val="center"/>
                </w:tcPr>
                <w:p>
                  <w:pPr>
                    <w:pStyle w:val="44"/>
                  </w:pPr>
                  <w:r>
                    <w:t>内容</w:t>
                  </w:r>
                </w:p>
              </w:tc>
              <w:tc>
                <w:tcPr>
                  <w:tcW w:w="1914" w:type="dxa"/>
                  <w:tcBorders>
                    <w:tl2br w:val="nil"/>
                    <w:tr2bl w:val="nil"/>
                  </w:tcBorders>
                  <w:noWrap w:val="0"/>
                  <w:vAlign w:val="center"/>
                </w:tcPr>
                <w:p>
                  <w:pPr>
                    <w:pStyle w:val="44"/>
                    <w:rPr>
                      <w:rFonts w:hint="default"/>
                      <w:lang w:val="en-US" w:eastAsia="zh-CN"/>
                    </w:rPr>
                  </w:pPr>
                  <w:r>
                    <w:rPr>
                      <w:rFonts w:hint="eastAsia"/>
                      <w:lang w:val="en-US" w:eastAsia="zh-CN"/>
                    </w:rPr>
                    <w:t>实际环保投资（万元）</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vMerge w:val="restart"/>
                  <w:tcBorders>
                    <w:tl2br w:val="nil"/>
                    <w:tr2bl w:val="nil"/>
                  </w:tcBorders>
                  <w:noWrap w:val="0"/>
                  <w:vAlign w:val="center"/>
                </w:tcPr>
                <w:p>
                  <w:pPr>
                    <w:pStyle w:val="44"/>
                  </w:pPr>
                  <w:r>
                    <w:t>废气治理</w:t>
                  </w:r>
                </w:p>
              </w:tc>
              <w:tc>
                <w:tcPr>
                  <w:tcW w:w="1589" w:type="dxa"/>
                  <w:vMerge w:val="restart"/>
                  <w:tcBorders>
                    <w:tl2br w:val="nil"/>
                    <w:tr2bl w:val="nil"/>
                  </w:tcBorders>
                  <w:noWrap w:val="0"/>
                  <w:vAlign w:val="center"/>
                </w:tcPr>
                <w:p>
                  <w:pPr>
                    <w:pStyle w:val="44"/>
                  </w:pPr>
                  <w:r>
                    <w:t>有组织废气</w:t>
                  </w:r>
                </w:p>
              </w:tc>
              <w:tc>
                <w:tcPr>
                  <w:tcW w:w="3292" w:type="dxa"/>
                  <w:tcBorders>
                    <w:tl2br w:val="nil"/>
                    <w:tr2bl w:val="nil"/>
                  </w:tcBorders>
                  <w:noWrap w:val="0"/>
                  <w:vAlign w:val="center"/>
                </w:tcPr>
                <w:p>
                  <w:pPr>
                    <w:pStyle w:val="44"/>
                    <w:rPr>
                      <w:rFonts w:hint="default" w:eastAsia="宋体"/>
                      <w:lang w:val="en-US" w:eastAsia="zh-CN"/>
                    </w:rPr>
                  </w:pPr>
                  <w:r>
                    <w:rPr>
                      <w:rFonts w:hint="eastAsia"/>
                      <w:lang w:val="en-US" w:eastAsia="zh-CN"/>
                    </w:rPr>
                    <w:t>筒仓呼吸空废气治理</w:t>
                  </w:r>
                </w:p>
              </w:tc>
              <w:tc>
                <w:tcPr>
                  <w:tcW w:w="1914" w:type="dxa"/>
                  <w:tcBorders>
                    <w:tl2br w:val="nil"/>
                    <w:tr2bl w:val="nil"/>
                  </w:tcBorders>
                  <w:noWrap w:val="0"/>
                  <w:vAlign w:val="center"/>
                </w:tcPr>
                <w:p>
                  <w:pPr>
                    <w:pStyle w:val="44"/>
                    <w:rPr>
                      <w:rFonts w:hint="default" w:eastAsia="宋体"/>
                      <w:lang w:val="en-US" w:eastAsia="zh-CN"/>
                    </w:rPr>
                  </w:pPr>
                  <w:r>
                    <w:rPr>
                      <w:rFonts w:hint="eastAsia"/>
                      <w:lang w:val="en-US" w:eastAsia="zh-CN"/>
                    </w:rPr>
                    <w:t>77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vMerge w:val="continue"/>
                  <w:tcBorders>
                    <w:tl2br w:val="nil"/>
                    <w:tr2bl w:val="nil"/>
                  </w:tcBorders>
                  <w:noWrap w:val="0"/>
                  <w:vAlign w:val="center"/>
                </w:tcPr>
                <w:p>
                  <w:pPr>
                    <w:pStyle w:val="44"/>
                    <w:rPr>
                      <w:highlight w:val="yellow"/>
                    </w:rPr>
                  </w:pPr>
                </w:p>
              </w:tc>
              <w:tc>
                <w:tcPr>
                  <w:tcW w:w="1589" w:type="dxa"/>
                  <w:vMerge w:val="continue"/>
                  <w:tcBorders>
                    <w:tl2br w:val="nil"/>
                    <w:tr2bl w:val="nil"/>
                  </w:tcBorders>
                  <w:noWrap w:val="0"/>
                  <w:vAlign w:val="center"/>
                </w:tcPr>
                <w:p>
                  <w:pPr>
                    <w:pStyle w:val="44"/>
                  </w:pPr>
                </w:p>
              </w:tc>
              <w:tc>
                <w:tcPr>
                  <w:tcW w:w="3292" w:type="dxa"/>
                  <w:tcBorders>
                    <w:tl2br w:val="nil"/>
                    <w:tr2bl w:val="nil"/>
                  </w:tcBorders>
                  <w:noWrap w:val="0"/>
                  <w:vAlign w:val="center"/>
                </w:tcPr>
                <w:p>
                  <w:pPr>
                    <w:pStyle w:val="44"/>
                    <w:rPr>
                      <w:rFonts w:hint="default" w:eastAsia="宋体"/>
                      <w:lang w:val="en-US" w:eastAsia="zh-CN"/>
                    </w:rPr>
                  </w:pPr>
                  <w:r>
                    <w:rPr>
                      <w:rFonts w:hint="eastAsia"/>
                      <w:lang w:val="en-US" w:eastAsia="zh-CN"/>
                    </w:rPr>
                    <w:t>三级沉淀池</w:t>
                  </w:r>
                </w:p>
              </w:tc>
              <w:tc>
                <w:tcPr>
                  <w:tcW w:w="1914" w:type="dxa"/>
                  <w:tcBorders>
                    <w:tl2br w:val="nil"/>
                    <w:tr2bl w:val="nil"/>
                  </w:tcBorders>
                  <w:noWrap w:val="0"/>
                  <w:vAlign w:val="center"/>
                </w:tcPr>
                <w:p>
                  <w:pPr>
                    <w:pStyle w:val="44"/>
                    <w:rPr>
                      <w:rFonts w:hint="default" w:eastAsia="宋体"/>
                      <w:lang w:val="en-US" w:eastAsia="zh-CN"/>
                    </w:rPr>
                  </w:pPr>
                  <w:r>
                    <w:rPr>
                      <w:rFonts w:hint="eastAsia"/>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vMerge w:val="continue"/>
                  <w:tcBorders>
                    <w:tl2br w:val="nil"/>
                    <w:tr2bl w:val="nil"/>
                  </w:tcBorders>
                  <w:noWrap w:val="0"/>
                  <w:vAlign w:val="center"/>
                </w:tcPr>
                <w:p>
                  <w:pPr>
                    <w:pStyle w:val="44"/>
                    <w:rPr>
                      <w:highlight w:val="yellow"/>
                    </w:rPr>
                  </w:pPr>
                </w:p>
              </w:tc>
              <w:tc>
                <w:tcPr>
                  <w:tcW w:w="1589" w:type="dxa"/>
                  <w:tcBorders>
                    <w:tl2br w:val="nil"/>
                    <w:tr2bl w:val="nil"/>
                  </w:tcBorders>
                  <w:noWrap w:val="0"/>
                  <w:vAlign w:val="center"/>
                </w:tcPr>
                <w:p>
                  <w:pPr>
                    <w:pStyle w:val="44"/>
                  </w:pPr>
                  <w:r>
                    <w:t>无组织废气</w:t>
                  </w:r>
                </w:p>
              </w:tc>
              <w:tc>
                <w:tcPr>
                  <w:tcW w:w="3292" w:type="dxa"/>
                  <w:tcBorders>
                    <w:tl2br w:val="nil"/>
                    <w:tr2bl w:val="nil"/>
                  </w:tcBorders>
                  <w:noWrap w:val="0"/>
                  <w:vAlign w:val="center"/>
                </w:tcPr>
                <w:p>
                  <w:pPr>
                    <w:pStyle w:val="44"/>
                  </w:pPr>
                  <w:r>
                    <w:t>通风扇</w:t>
                  </w:r>
                </w:p>
              </w:tc>
              <w:tc>
                <w:tcPr>
                  <w:tcW w:w="1914" w:type="dxa"/>
                  <w:tcBorders>
                    <w:tl2br w:val="nil"/>
                    <w:tr2bl w:val="nil"/>
                  </w:tcBorders>
                  <w:noWrap w:val="0"/>
                  <w:vAlign w:val="center"/>
                </w:tcPr>
                <w:p>
                  <w:pPr>
                    <w:pStyle w:val="44"/>
                    <w:rPr>
                      <w:rFonts w:hint="eastAsia" w:eastAsia="宋体"/>
                      <w:lang w:val="en-US" w:eastAsia="zh-CN"/>
                    </w:rPr>
                  </w:pPr>
                  <w:r>
                    <w:rPr>
                      <w:rFonts w:hint="eastAsia"/>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tcBorders>
                    <w:tl2br w:val="nil"/>
                    <w:tr2bl w:val="nil"/>
                  </w:tcBorders>
                  <w:noWrap w:val="0"/>
                  <w:vAlign w:val="center"/>
                </w:tcPr>
                <w:p>
                  <w:pPr>
                    <w:pStyle w:val="44"/>
                    <w:rPr>
                      <w:rFonts w:hint="eastAsia"/>
                      <w:color w:val="auto"/>
                      <w:highlight w:val="none"/>
                      <w:shd w:val="clear" w:color="auto" w:fill="auto"/>
                    </w:rPr>
                  </w:pPr>
                  <w:r>
                    <w:rPr>
                      <w:rFonts w:hint="eastAsia"/>
                      <w:color w:val="auto"/>
                      <w:highlight w:val="none"/>
                      <w:shd w:val="clear" w:color="auto" w:fill="auto"/>
                    </w:rPr>
                    <w:t>废水</w:t>
                  </w:r>
                  <w:r>
                    <w:rPr>
                      <w:color w:val="auto"/>
                      <w:highlight w:val="none"/>
                      <w:shd w:val="clear" w:color="auto" w:fill="auto"/>
                    </w:rPr>
                    <w:t>治理</w:t>
                  </w:r>
                </w:p>
              </w:tc>
              <w:tc>
                <w:tcPr>
                  <w:tcW w:w="1589" w:type="dxa"/>
                  <w:tcBorders>
                    <w:tl2br w:val="nil"/>
                    <w:tr2bl w:val="nil"/>
                  </w:tcBorders>
                  <w:noWrap w:val="0"/>
                  <w:vAlign w:val="center"/>
                </w:tcPr>
                <w:p>
                  <w:pPr>
                    <w:pStyle w:val="44"/>
                    <w:rPr>
                      <w:color w:val="auto"/>
                      <w:highlight w:val="none"/>
                      <w:shd w:val="clear" w:color="auto" w:fill="auto"/>
                    </w:rPr>
                  </w:pPr>
                  <w:r>
                    <w:rPr>
                      <w:rFonts w:hint="eastAsia"/>
                      <w:color w:val="auto"/>
                      <w:highlight w:val="none"/>
                      <w:shd w:val="clear" w:color="auto" w:fill="auto"/>
                      <w:lang w:eastAsia="zh-CN"/>
                    </w:rPr>
                    <w:t>、</w:t>
                  </w:r>
                  <w:r>
                    <w:rPr>
                      <w:rFonts w:hint="eastAsia"/>
                      <w:color w:val="auto"/>
                      <w:highlight w:val="none"/>
                      <w:shd w:val="clear" w:color="auto" w:fill="auto"/>
                      <w:lang w:val="en-US" w:eastAsia="zh-CN"/>
                    </w:rPr>
                    <w:t>生活污水、</w:t>
                  </w:r>
                  <w:r>
                    <w:rPr>
                      <w:rFonts w:hint="eastAsia"/>
                      <w:color w:val="auto"/>
                      <w:highlight w:val="none"/>
                      <w:shd w:val="clear" w:color="auto" w:fill="auto"/>
                    </w:rPr>
                    <w:t>食堂废水</w:t>
                  </w:r>
                </w:p>
              </w:tc>
              <w:tc>
                <w:tcPr>
                  <w:tcW w:w="3292" w:type="dxa"/>
                  <w:tcBorders>
                    <w:tl2br w:val="nil"/>
                    <w:tr2bl w:val="nil"/>
                  </w:tcBorders>
                  <w:noWrap w:val="0"/>
                  <w:vAlign w:val="center"/>
                </w:tcPr>
                <w:p>
                  <w:pPr>
                    <w:pStyle w:val="44"/>
                    <w:rPr>
                      <w:color w:val="auto"/>
                      <w:highlight w:val="none"/>
                      <w:shd w:val="clear" w:color="auto" w:fill="auto"/>
                    </w:rPr>
                  </w:pPr>
                  <w:r>
                    <w:rPr>
                      <w:rFonts w:hint="eastAsia"/>
                      <w:color w:val="auto"/>
                      <w:highlight w:val="none"/>
                      <w:shd w:val="clear" w:color="auto" w:fill="auto"/>
                      <w:lang w:val="en-US" w:eastAsia="zh-CN"/>
                    </w:rPr>
                    <w:t>油水分离器、</w:t>
                  </w:r>
                  <w:r>
                    <w:rPr>
                      <w:rFonts w:hint="eastAsia"/>
                      <w:color w:val="auto"/>
                      <w:highlight w:val="none"/>
                      <w:shd w:val="clear" w:color="auto" w:fill="auto"/>
                    </w:rPr>
                    <w:t>化粪池</w:t>
                  </w:r>
                </w:p>
              </w:tc>
              <w:tc>
                <w:tcPr>
                  <w:tcW w:w="1914" w:type="dxa"/>
                  <w:tcBorders>
                    <w:tl2br w:val="nil"/>
                    <w:tr2bl w:val="nil"/>
                  </w:tcBorders>
                  <w:noWrap w:val="0"/>
                  <w:vAlign w:val="center"/>
                </w:tcPr>
                <w:p>
                  <w:pPr>
                    <w:pStyle w:val="44"/>
                    <w:rPr>
                      <w:rFonts w:hint="default" w:eastAsia="宋体"/>
                      <w:color w:val="auto"/>
                      <w:highlight w:val="none"/>
                      <w:shd w:val="clear" w:color="auto" w:fill="auto"/>
                      <w:lang w:val="en-US" w:eastAsia="zh-CN"/>
                    </w:rPr>
                  </w:pPr>
                  <w:r>
                    <w:rPr>
                      <w:rFonts w:hint="eastAsia"/>
                      <w:color w:val="auto"/>
                      <w:highlight w:val="none"/>
                      <w:shd w:val="clear" w:color="auto" w:fill="auto"/>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tcBorders>
                    <w:tl2br w:val="nil"/>
                    <w:tr2bl w:val="nil"/>
                  </w:tcBorders>
                  <w:noWrap w:val="0"/>
                  <w:vAlign w:val="center"/>
                </w:tcPr>
                <w:p>
                  <w:pPr>
                    <w:pStyle w:val="44"/>
                  </w:pPr>
                  <w:r>
                    <w:t>噪声治理</w:t>
                  </w:r>
                </w:p>
              </w:tc>
              <w:tc>
                <w:tcPr>
                  <w:tcW w:w="4881" w:type="dxa"/>
                  <w:gridSpan w:val="2"/>
                  <w:tcBorders>
                    <w:tl2br w:val="nil"/>
                    <w:tr2bl w:val="nil"/>
                  </w:tcBorders>
                  <w:noWrap w:val="0"/>
                  <w:vAlign w:val="center"/>
                </w:tcPr>
                <w:p>
                  <w:pPr>
                    <w:pStyle w:val="44"/>
                  </w:pPr>
                  <w:r>
                    <w:t>减振基座、消声器、隔声墙</w:t>
                  </w:r>
                </w:p>
              </w:tc>
              <w:tc>
                <w:tcPr>
                  <w:tcW w:w="1914" w:type="dxa"/>
                  <w:tcBorders>
                    <w:tl2br w:val="nil"/>
                    <w:tr2bl w:val="nil"/>
                  </w:tcBorders>
                  <w:noWrap w:val="0"/>
                  <w:vAlign w:val="center"/>
                </w:tcPr>
                <w:p>
                  <w:pPr>
                    <w:pStyle w:val="44"/>
                    <w:rPr>
                      <w:rFonts w:hint="default" w:eastAsia="宋体"/>
                      <w:lang w:val="en-US" w:eastAsia="zh-CN"/>
                    </w:rPr>
                  </w:pPr>
                  <w:r>
                    <w:rPr>
                      <w:rFonts w:hint="eastAsia"/>
                      <w:lang w:val="en-US" w:eastAsia="zh-CN"/>
                    </w:rPr>
                    <w:t>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608" w:hRule="atLeast"/>
              </w:trPr>
              <w:tc>
                <w:tcPr>
                  <w:tcW w:w="1643" w:type="dxa"/>
                  <w:tcBorders>
                    <w:tl2br w:val="nil"/>
                    <w:tr2bl w:val="nil"/>
                  </w:tcBorders>
                  <w:noWrap w:val="0"/>
                  <w:vAlign w:val="center"/>
                </w:tcPr>
                <w:p>
                  <w:pPr>
                    <w:pStyle w:val="44"/>
                  </w:pPr>
                  <w:r>
                    <w:t>固体废弃物处置</w:t>
                  </w:r>
                </w:p>
              </w:tc>
              <w:tc>
                <w:tcPr>
                  <w:tcW w:w="4881" w:type="dxa"/>
                  <w:gridSpan w:val="2"/>
                  <w:tcBorders>
                    <w:tl2br w:val="nil"/>
                    <w:tr2bl w:val="nil"/>
                  </w:tcBorders>
                  <w:noWrap w:val="0"/>
                  <w:vAlign w:val="center"/>
                </w:tcPr>
                <w:p>
                  <w:pPr>
                    <w:pStyle w:val="44"/>
                  </w:pPr>
                  <w:r>
                    <w:t>生活垃圾分类收集箱</w:t>
                  </w:r>
                </w:p>
              </w:tc>
              <w:tc>
                <w:tcPr>
                  <w:tcW w:w="1914" w:type="dxa"/>
                  <w:tcBorders>
                    <w:tl2br w:val="nil"/>
                    <w:tr2bl w:val="nil"/>
                  </w:tcBorders>
                  <w:noWrap w:val="0"/>
                  <w:vAlign w:val="center"/>
                </w:tcPr>
                <w:p>
                  <w:pPr>
                    <w:pStyle w:val="44"/>
                    <w:rPr>
                      <w:rFonts w:hint="default" w:eastAsia="宋体"/>
                      <w:lang w:val="en-US" w:eastAsia="zh-CN"/>
                    </w:rPr>
                  </w:pPr>
                  <w:r>
                    <w:rPr>
                      <w:rFonts w:hint="eastAsia"/>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tcBorders>
                    <w:tl2br w:val="nil"/>
                    <w:tr2bl w:val="nil"/>
                  </w:tcBorders>
                  <w:noWrap w:val="0"/>
                  <w:vAlign w:val="center"/>
                </w:tcPr>
                <w:p>
                  <w:pPr>
                    <w:pStyle w:val="44"/>
                  </w:pPr>
                  <w:r>
                    <w:t>一般固废</w:t>
                  </w:r>
                </w:p>
              </w:tc>
              <w:tc>
                <w:tcPr>
                  <w:tcW w:w="4881" w:type="dxa"/>
                  <w:gridSpan w:val="2"/>
                  <w:tcBorders>
                    <w:tl2br w:val="nil"/>
                    <w:tr2bl w:val="nil"/>
                  </w:tcBorders>
                  <w:noWrap w:val="0"/>
                  <w:vAlign w:val="center"/>
                </w:tcPr>
                <w:p>
                  <w:pPr>
                    <w:pStyle w:val="44"/>
                  </w:pPr>
                  <w:r>
                    <w:t>固废暂存库</w:t>
                  </w:r>
                </w:p>
              </w:tc>
              <w:tc>
                <w:tcPr>
                  <w:tcW w:w="1914" w:type="dxa"/>
                  <w:tcBorders>
                    <w:tl2br w:val="nil"/>
                    <w:tr2bl w:val="nil"/>
                  </w:tcBorders>
                  <w:noWrap w:val="0"/>
                  <w:vAlign w:val="center"/>
                </w:tcPr>
                <w:p>
                  <w:pPr>
                    <w:pStyle w:val="44"/>
                    <w:rPr>
                      <w:rFonts w:hint="eastAsia" w:eastAsia="宋体"/>
                      <w:lang w:val="en-US" w:eastAsia="zh-CN"/>
                    </w:rPr>
                  </w:pPr>
                  <w:r>
                    <w:rPr>
                      <w:rFonts w:hint="eastAsia"/>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29" w:hRule="atLeast"/>
              </w:trPr>
              <w:tc>
                <w:tcPr>
                  <w:tcW w:w="1643" w:type="dxa"/>
                  <w:tcBorders>
                    <w:tl2br w:val="nil"/>
                    <w:tr2bl w:val="nil"/>
                  </w:tcBorders>
                  <w:noWrap w:val="0"/>
                  <w:vAlign w:val="center"/>
                </w:tcPr>
                <w:p>
                  <w:pPr>
                    <w:pStyle w:val="44"/>
                  </w:pPr>
                  <w:r>
                    <w:t>绿化</w:t>
                  </w:r>
                </w:p>
              </w:tc>
              <w:tc>
                <w:tcPr>
                  <w:tcW w:w="4881" w:type="dxa"/>
                  <w:gridSpan w:val="2"/>
                  <w:tcBorders>
                    <w:tl2br w:val="nil"/>
                    <w:tr2bl w:val="nil"/>
                  </w:tcBorders>
                  <w:noWrap w:val="0"/>
                  <w:vAlign w:val="center"/>
                </w:tcPr>
                <w:p>
                  <w:pPr>
                    <w:pStyle w:val="44"/>
                  </w:pPr>
                  <w:r>
                    <w:t>绿化</w:t>
                  </w:r>
                </w:p>
              </w:tc>
              <w:tc>
                <w:tcPr>
                  <w:tcW w:w="1914" w:type="dxa"/>
                  <w:tcBorders>
                    <w:tl2br w:val="nil"/>
                    <w:tr2bl w:val="nil"/>
                  </w:tcBorders>
                  <w:noWrap w:val="0"/>
                  <w:vAlign w:val="center"/>
                </w:tcPr>
                <w:p>
                  <w:pPr>
                    <w:pStyle w:val="44"/>
                    <w:rPr>
                      <w:rFonts w:hint="eastAsia" w:eastAsia="宋体"/>
                      <w:lang w:val="en-US" w:eastAsia="zh-CN"/>
                    </w:rPr>
                  </w:pPr>
                  <w:r>
                    <w:rPr>
                      <w:rFonts w:hint="eastAsia"/>
                      <w:lang w:val="en-US" w:eastAsia="zh-CN"/>
                    </w:rPr>
                    <w:t>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cantSplit/>
                <w:trHeight w:val="456" w:hRule="atLeast"/>
              </w:trPr>
              <w:tc>
                <w:tcPr>
                  <w:tcW w:w="6524" w:type="dxa"/>
                  <w:gridSpan w:val="3"/>
                  <w:tcBorders>
                    <w:tl2br w:val="nil"/>
                    <w:tr2bl w:val="nil"/>
                  </w:tcBorders>
                  <w:noWrap w:val="0"/>
                  <w:vAlign w:val="center"/>
                </w:tcPr>
                <w:p>
                  <w:pPr>
                    <w:pStyle w:val="44"/>
                    <w:rPr>
                      <w:rFonts w:hint="eastAsia" w:eastAsia="宋体"/>
                      <w:lang w:val="en-US" w:eastAsia="zh-CN"/>
                    </w:rPr>
                  </w:pPr>
                  <w:r>
                    <w:rPr>
                      <w:rFonts w:hint="eastAsia"/>
                      <w:lang w:val="en-US" w:eastAsia="zh-CN"/>
                    </w:rPr>
                    <w:t>合计</w:t>
                  </w:r>
                </w:p>
              </w:tc>
              <w:tc>
                <w:tcPr>
                  <w:tcW w:w="1914" w:type="dxa"/>
                  <w:tcBorders>
                    <w:tl2br w:val="nil"/>
                    <w:tr2bl w:val="nil"/>
                  </w:tcBorders>
                  <w:noWrap w:val="0"/>
                  <w:vAlign w:val="center"/>
                </w:tcPr>
                <w:p>
                  <w:pPr>
                    <w:pStyle w:val="44"/>
                    <w:rPr>
                      <w:rFonts w:hint="default"/>
                      <w:lang w:val="en-US" w:eastAsia="zh-CN"/>
                    </w:rPr>
                  </w:pPr>
                  <w:r>
                    <w:rPr>
                      <w:rFonts w:hint="eastAsia"/>
                      <w:lang w:val="en-US" w:eastAsia="zh-CN"/>
                    </w:rPr>
                    <w:t>125</w:t>
                  </w:r>
                </w:p>
              </w:tc>
            </w:tr>
          </w:tbl>
          <w:p>
            <w:pPr>
              <w:pStyle w:val="6"/>
              <w:widowControl w:val="0"/>
              <w:bidi w:val="0"/>
              <w:rPr>
                <w:rFonts w:hint="eastAsia"/>
                <w:lang w:val="en-US" w:eastAsia="zh-CN"/>
              </w:rPr>
            </w:pPr>
            <w:bookmarkStart w:id="30" w:name="_Toc9675"/>
            <w:r>
              <w:rPr>
                <w:rFonts w:hint="eastAsia"/>
                <w:lang w:val="en-US" w:eastAsia="zh-CN"/>
              </w:rPr>
              <w:t>2.6劳动定员及工作制度</w:t>
            </w:r>
            <w:bookmarkEnd w:id="30"/>
          </w:p>
          <w:bookmarkEnd w:id="22"/>
          <w:bookmarkEnd w:id="23"/>
          <w:bookmarkEnd w:id="24"/>
          <w:bookmarkEnd w:id="25"/>
          <w:bookmarkEnd w:id="26"/>
          <w:p>
            <w:pPr>
              <w:widowControl w:val="0"/>
              <w:bidi w:val="0"/>
              <w:ind w:firstLine="480" w:firstLineChars="200"/>
              <w:rPr>
                <w:rFonts w:hint="eastAsia"/>
                <w:lang w:val="en-US" w:eastAsia="zh-CN"/>
              </w:rPr>
            </w:pPr>
            <w:bookmarkStart w:id="31" w:name="_Toc29933"/>
            <w:bookmarkStart w:id="32" w:name="_Toc18970"/>
            <w:bookmarkStart w:id="33" w:name="_Toc26680"/>
            <w:bookmarkStart w:id="34" w:name="_Toc17050"/>
            <w:bookmarkStart w:id="35" w:name="_Toc29532"/>
            <w:bookmarkStart w:id="36" w:name="_Toc6515"/>
            <w:bookmarkStart w:id="37" w:name="_Toc17182"/>
            <w:bookmarkStart w:id="38" w:name="_Toc3599"/>
            <w:bookmarkStart w:id="39" w:name="_Toc19551"/>
            <w:bookmarkStart w:id="40" w:name="_Toc17617"/>
            <w:bookmarkStart w:id="41" w:name="_Toc11362"/>
            <w:r>
              <w:rPr>
                <w:rFonts w:hint="eastAsia"/>
                <w:lang w:val="en-US" w:eastAsia="zh-CN"/>
              </w:rPr>
              <w:t>本项目运营期间年工作 300 天，每天工作 8 小时，白班工作制度。工作人员 80 人。</w:t>
            </w:r>
          </w:p>
          <w:p>
            <w:pPr>
              <w:pStyle w:val="6"/>
              <w:widowControl w:val="0"/>
              <w:bidi w:val="0"/>
              <w:rPr>
                <w:rFonts w:hint="eastAsia"/>
                <w:lang w:val="en-US" w:eastAsia="zh-CN"/>
              </w:rPr>
            </w:pPr>
            <w:bookmarkStart w:id="42" w:name="_Toc186"/>
            <w:r>
              <w:rPr>
                <w:rFonts w:hint="eastAsia"/>
                <w:lang w:val="en-US" w:eastAsia="zh-CN"/>
              </w:rPr>
              <w:t>2.7</w:t>
            </w:r>
            <w:r>
              <w:rPr>
                <w:rFonts w:hint="eastAsia"/>
              </w:rPr>
              <w:t>供电</w:t>
            </w:r>
            <w:bookmarkEnd w:id="31"/>
            <w:bookmarkEnd w:id="32"/>
            <w:bookmarkEnd w:id="33"/>
            <w:bookmarkEnd w:id="34"/>
            <w:bookmarkEnd w:id="35"/>
            <w:bookmarkEnd w:id="36"/>
            <w:bookmarkEnd w:id="37"/>
            <w:bookmarkEnd w:id="38"/>
            <w:bookmarkEnd w:id="39"/>
            <w:bookmarkEnd w:id="40"/>
            <w:bookmarkEnd w:id="41"/>
            <w:r>
              <w:rPr>
                <w:rFonts w:hint="eastAsia"/>
                <w:lang w:val="en-US" w:eastAsia="zh-CN"/>
              </w:rPr>
              <w:t>及采暖</w:t>
            </w:r>
            <w:bookmarkEnd w:id="42"/>
          </w:p>
          <w:bookmarkEnd w:id="21"/>
          <w:p>
            <w:pPr>
              <w:widowControl w:val="0"/>
              <w:bidi w:val="0"/>
              <w:ind w:firstLine="480" w:firstLineChars="200"/>
              <w:rPr>
                <w:rFonts w:hint="eastAsia" w:ascii="宋体" w:hAnsi="宋体" w:eastAsia="宋体" w:cs="宋体"/>
                <w:color w:val="auto"/>
                <w:sz w:val="24"/>
                <w:szCs w:val="24"/>
                <w:lang w:val="en-US" w:eastAsia="zh-CN"/>
              </w:rPr>
            </w:pPr>
            <w:bookmarkStart w:id="43" w:name="_Toc8194"/>
            <w:bookmarkStart w:id="44" w:name="_Toc20107"/>
            <w:r>
              <w:rPr>
                <w:rFonts w:hint="eastAsia" w:ascii="宋体" w:hAnsi="宋体" w:eastAsia="宋体" w:cs="宋体"/>
                <w:color w:val="auto"/>
                <w:sz w:val="24"/>
                <w:szCs w:val="24"/>
                <w:lang w:eastAsia="zh-CN"/>
              </w:rPr>
              <w:t>项目区</w:t>
            </w:r>
            <w:r>
              <w:rPr>
                <w:rFonts w:hint="eastAsia" w:ascii="宋体" w:hAnsi="宋体" w:eastAsia="宋体" w:cs="宋体"/>
                <w:color w:val="auto"/>
                <w:sz w:val="24"/>
                <w:szCs w:val="24"/>
                <w:lang w:val="en-US" w:eastAsia="zh-CN"/>
              </w:rPr>
              <w:t>用电就近接入电网，可满足用电负荷及对供电可靠性的要求；厂房采暖依托</w:t>
            </w:r>
            <w:r>
              <w:rPr>
                <w:rFonts w:hint="eastAsia" w:ascii="宋体" w:hAnsi="宋体" w:eastAsia="宋体" w:cs="宋体"/>
                <w:b w:val="0"/>
                <w:bCs w:val="0"/>
                <w:color w:val="auto"/>
                <w:sz w:val="24"/>
                <w:szCs w:val="24"/>
                <w:highlight w:val="none"/>
                <w:lang w:val="en-US" w:eastAsia="zh-CN"/>
              </w:rPr>
              <w:t>空调</w:t>
            </w:r>
            <w:r>
              <w:rPr>
                <w:rFonts w:hint="eastAsia" w:ascii="宋体" w:hAnsi="宋体" w:eastAsia="宋体" w:cs="宋体"/>
                <w:color w:val="auto"/>
                <w:sz w:val="24"/>
                <w:szCs w:val="24"/>
                <w:lang w:val="en-US" w:eastAsia="zh-CN"/>
              </w:rPr>
              <w:t>。</w:t>
            </w:r>
          </w:p>
          <w:p>
            <w:pPr>
              <w:pStyle w:val="6"/>
              <w:widowControl w:val="0"/>
              <w:bidi w:val="0"/>
              <w:rPr>
                <w:rFonts w:hint="eastAsia"/>
                <w:lang w:val="en-US" w:eastAsia="zh-CN"/>
              </w:rPr>
            </w:pPr>
            <w:bookmarkStart w:id="45" w:name="_Toc8489"/>
            <w:r>
              <w:rPr>
                <w:rFonts w:hint="eastAsia"/>
                <w:lang w:val="en-US" w:eastAsia="zh-CN"/>
              </w:rPr>
              <w:t>2.8生产工艺及产污环节</w:t>
            </w:r>
            <w:bookmarkEnd w:id="45"/>
          </w:p>
          <w:bookmarkEnd w:id="43"/>
          <w:bookmarkEnd w:id="44"/>
          <w:p>
            <w:pPr>
              <w:pStyle w:val="49"/>
              <w:widowControl w:val="0"/>
              <w:spacing w:line="360" w:lineRule="auto"/>
              <w:ind w:firstLine="0" w:firstLineChars="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运营期主要污染工序：</w:t>
            </w:r>
          </w:p>
          <w:p>
            <w:pPr>
              <w:pStyle w:val="21"/>
              <w:keepNext w:val="0"/>
              <w:keepLines w:val="0"/>
              <w:widowControl w:val="0"/>
              <w:suppressLineNumbers w:val="0"/>
              <w:spacing w:before="0" w:beforeAutospacing="0" w:after="0" w:afterAutospacing="0"/>
              <w:ind w:left="0" w:leftChars="0" w:right="0" w:firstLine="0" w:firstLineChars="0"/>
              <w:jc w:val="both"/>
              <w:rPr>
                <w:rFonts w:hint="default" w:ascii="Times New Roman" w:hAnsi="Times New Roman" w:eastAsia="宋体" w:cs="Times New Roman"/>
                <w:kern w:val="2"/>
                <w:sz w:val="24"/>
                <w:szCs w:val="24"/>
              </w:rPr>
            </w:pPr>
            <w:r>
              <w:rPr>
                <w:rFonts w:hint="eastAsia" w:ascii="Times New Roman" w:hAnsi="Times New Roman" w:cs="Times New Roman"/>
                <w:kern w:val="2"/>
                <w:sz w:val="24"/>
                <w:szCs w:val="24"/>
                <w:lang w:val="en-US" w:eastAsia="zh-CN" w:bidi="ar"/>
              </w:rPr>
              <w:t>搅拌楼</w:t>
            </w:r>
            <w:r>
              <w:rPr>
                <w:rFonts w:hint="default" w:ascii="Times New Roman" w:hAnsi="Times New Roman" w:eastAsia="宋体" w:cs="Times New Roman"/>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val="en-US" w:eastAsia="zh-CN" w:bidi="ar"/>
              </w:rPr>
            </w:pPr>
            <w:r>
              <w:rPr>
                <w:rFonts w:hint="default" w:ascii="Times New Roman" w:hAnsi="Times New Roman" w:eastAsia="宋体" w:cs="Times New Roman"/>
                <w:kern w:val="2"/>
                <w:sz w:val="24"/>
                <w:szCs w:val="24"/>
                <w:lang w:val="en-US" w:eastAsia="zh-CN" w:bidi="ar"/>
              </w:rPr>
              <w:t>本项目生产工艺相对比较简单，所有工序均为物理过程，无化学反应，搅拌楼生产区基本为全密封生产，生产时首先将各种原料进行计量配送，然后进行重量配料，之后进行强制配料，强制配料过程采用电脑控制，从而保证混凝土的品质，之后进行计量泵送入混凝土车。项目砂、石提升以皮带输送方式完成。通过各自罐车空压机产生的气压将水泥和粉煤灰通过送料管由压入水泥筒仓和粉煤灰筒仓内，辅以螺旋输送机给水泥秤供料，揽拌用水采用压力供水。项目生产工艺及产污工序，见下图。</w:t>
            </w:r>
          </w:p>
          <w:p>
            <w:pPr>
              <w:pStyle w:val="2"/>
              <w:keepNext w:val="0"/>
              <w:keepLines w:val="0"/>
              <w:suppressLineNumbers w:val="0"/>
              <w:spacing w:before="0" w:beforeAutospacing="0" w:afterAutospacing="0"/>
              <w:ind w:left="0" w:leftChars="0" w:right="0" w:firstLine="0" w:firstLineChars="0"/>
              <w:jc w:val="both"/>
              <w:rPr>
                <w:rFonts w:hint="eastAsia" w:eastAsia="宋体"/>
                <w:lang w:eastAsia="zh-CN"/>
              </w:rPr>
            </w:pPr>
            <w:r>
              <w:rPr>
                <w:rFonts w:hint="eastAsia" w:eastAsia="宋体"/>
                <w:lang w:eastAsia="zh-CN"/>
              </w:rPr>
              <w:drawing>
                <wp:inline distT="0" distB="0" distL="114300" distR="114300">
                  <wp:extent cx="5330825" cy="3402965"/>
                  <wp:effectExtent l="0" t="0" r="0" b="0"/>
                  <wp:docPr id="1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B019B1-382A-4266-B25C-5B523AA43C14-1" descr="wps"/>
                          <pic:cNvPicPr>
                            <a:picLocks noChangeAspect="1"/>
                          </pic:cNvPicPr>
                        </pic:nvPicPr>
                        <pic:blipFill>
                          <a:blip r:embed="rId19"/>
                          <a:stretch>
                            <a:fillRect/>
                          </a:stretch>
                        </pic:blipFill>
                        <pic:spPr>
                          <a:xfrm>
                            <a:off x="0" y="0"/>
                            <a:ext cx="5330825" cy="340296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kern w:val="2"/>
                <w:sz w:val="22"/>
                <w:szCs w:val="22"/>
                <w:lang w:val="en-US" w:eastAsia="zh-CN" w:bidi="ar"/>
              </w:rPr>
              <w:t>图</w:t>
            </w:r>
            <w:r>
              <w:rPr>
                <w:rFonts w:hint="eastAsia" w:cs="Times New Roman"/>
                <w:b/>
                <w:bCs/>
                <w:kern w:val="2"/>
                <w:sz w:val="22"/>
                <w:szCs w:val="22"/>
                <w:lang w:val="en-US" w:eastAsia="zh-CN" w:bidi="ar"/>
              </w:rPr>
              <w:t>6</w:t>
            </w:r>
            <w:r>
              <w:rPr>
                <w:rFonts w:hint="default" w:ascii="Times New Roman" w:hAnsi="Times New Roman" w:eastAsia="宋体" w:cs="Times New Roman"/>
                <w:b/>
                <w:bCs/>
                <w:kern w:val="2"/>
                <w:sz w:val="22"/>
                <w:szCs w:val="22"/>
                <w:lang w:val="en-US" w:eastAsia="zh-CN" w:bidi="ar"/>
              </w:rPr>
              <w:t xml:space="preserve"> </w:t>
            </w:r>
            <w:r>
              <w:rPr>
                <w:rFonts w:hint="default" w:ascii="Times New Roman" w:hAnsi="Times New Roman" w:eastAsia="宋体" w:cs="Times New Roman"/>
                <w:b/>
                <w:bCs/>
                <w:color w:val="000000"/>
                <w:szCs w:val="21"/>
              </w:rPr>
              <w:t>项目生产工艺及产污节点示意图</w:t>
            </w:r>
          </w:p>
          <w:p>
            <w:pPr>
              <w:widowControl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rFonts w:ascii="Times New Roman" w:hAnsi="Times New Roman"/>
                <w:color w:val="000000" w:themeColor="text1"/>
                <w:sz w:val="24"/>
                <w14:textFill>
                  <w14:solidFill>
                    <w14:schemeClr w14:val="tx1"/>
                  </w14:solidFill>
                </w14:textFill>
              </w:rPr>
              <w:t>废气：</w:t>
            </w:r>
            <w:r>
              <w:rPr>
                <w:rFonts w:hint="eastAsia" w:ascii="Times New Roman" w:hAnsi="Times New Roman" w:eastAsia="宋体" w:cs="Times New Roman"/>
                <w:sz w:val="24"/>
                <w:szCs w:val="24"/>
                <w:lang w:val="en-US" w:eastAsia="zh-CN"/>
              </w:rPr>
              <w:t>搅拌工序废气和水泥筒仓、粉煤灰筒仓和矿粉筒仓呼吸孔废气</w:t>
            </w:r>
            <w:r>
              <w:rPr>
                <w:rFonts w:hint="eastAsia"/>
                <w:lang w:val="en-US" w:eastAsia="zh-CN"/>
              </w:rPr>
              <w:t>等</w:t>
            </w:r>
            <w:r>
              <w:rPr>
                <w:rFonts w:ascii="Times New Roman" w:hAnsi="Times New Roman"/>
                <w:color w:val="000000" w:themeColor="text1"/>
                <w:sz w:val="24"/>
                <w14:textFill>
                  <w14:solidFill>
                    <w14:schemeClr w14:val="tx1"/>
                  </w14:solidFill>
                </w14:textFill>
              </w:rPr>
              <w:t>；</w:t>
            </w:r>
          </w:p>
          <w:p>
            <w:pPr>
              <w:pStyle w:val="49"/>
              <w:widowControl w:val="0"/>
              <w:spacing w:line="360" w:lineRule="auto"/>
              <w:ind w:left="480" w:firstLine="0" w:firstLineChars="0"/>
              <w:rPr>
                <w:rFonts w:ascii="Times New Roman" w:hAnsi="Times New Roman"/>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废水：</w:t>
            </w:r>
            <w:r>
              <w:rPr>
                <w:rFonts w:hint="eastAsia"/>
                <w:color w:val="000000" w:themeColor="text1"/>
                <w:sz w:val="24"/>
                <w:szCs w:val="24"/>
                <w:lang w:val="en-US" w:eastAsia="zh-CN"/>
                <w14:textFill>
                  <w14:solidFill>
                    <w14:schemeClr w14:val="tx1"/>
                  </w14:solidFill>
                </w14:textFill>
              </w:rPr>
              <w:t>生产废水、生活污水等</w:t>
            </w:r>
            <w:r>
              <w:rPr>
                <w:rFonts w:ascii="Times New Roman" w:hAnsi="Times New Roman"/>
                <w:color w:val="000000" w:themeColor="text1"/>
                <w:sz w:val="24"/>
                <w:szCs w:val="24"/>
                <w14:textFill>
                  <w14:solidFill>
                    <w14:schemeClr w14:val="tx1"/>
                  </w14:solidFill>
                </w14:textFill>
              </w:rPr>
              <w:t>；</w:t>
            </w:r>
          </w:p>
          <w:p>
            <w:pPr>
              <w:pStyle w:val="49"/>
              <w:widowControl w:val="0"/>
              <w:spacing w:line="360" w:lineRule="auto"/>
              <w:ind w:firstLine="480"/>
              <w:jc w:val="both"/>
              <w:rPr>
                <w:rFonts w:ascii="Times New Roman" w:hAnsi="Times New Roman"/>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噪声：</w:t>
            </w:r>
            <w:r>
              <w:rPr>
                <w:rFonts w:hint="eastAsia" w:ascii="Times New Roman" w:hAnsi="Times New Roman"/>
                <w:color w:val="000000" w:themeColor="text1"/>
                <w:sz w:val="24"/>
                <w:szCs w:val="24"/>
                <w14:textFill>
                  <w14:solidFill>
                    <w14:schemeClr w14:val="tx1"/>
                  </w14:solidFill>
                </w14:textFill>
              </w:rPr>
              <w:t>本项目噪声主要来源于生产设备的运行，主要噪声设备为</w:t>
            </w:r>
            <w:r>
              <w:rPr>
                <w:rFonts w:hint="eastAsia" w:ascii="Times New Roman" w:hAnsi="Times New Roman"/>
                <w:color w:val="000000" w:themeColor="text1"/>
                <w:sz w:val="24"/>
                <w:szCs w:val="24"/>
                <w:lang w:val="en-US" w:eastAsia="zh-CN"/>
                <w14:textFill>
                  <w14:solidFill>
                    <w14:schemeClr w14:val="tx1"/>
                  </w14:solidFill>
                </w14:textFill>
              </w:rPr>
              <w:t>选用低噪音设备、并安装隔声、消声、、和减震设施，</w:t>
            </w:r>
            <w:r>
              <w:rPr>
                <w:rFonts w:hint="eastAsia" w:ascii="Times New Roman" w:hAnsi="Times New Roman"/>
                <w:color w:val="000000" w:themeColor="text1"/>
                <w:sz w:val="24"/>
                <w:szCs w:val="24"/>
                <w14:textFill>
                  <w14:solidFill>
                    <w14:schemeClr w14:val="tx1"/>
                  </w14:solidFill>
                </w14:textFill>
              </w:rPr>
              <w:t>噪声值在65dB（A）～80dB（A）之间</w:t>
            </w:r>
            <w:r>
              <w:rPr>
                <w:rFonts w:ascii="Times New Roman" w:hAnsi="Times New Roman"/>
                <w:color w:val="000000" w:themeColor="text1"/>
                <w:sz w:val="24"/>
                <w:szCs w:val="24"/>
                <w14:textFill>
                  <w14:solidFill>
                    <w14:schemeClr w14:val="tx1"/>
                  </w14:solidFill>
                </w14:textFill>
              </w:rPr>
              <w:t>。</w:t>
            </w:r>
          </w:p>
          <w:p>
            <w:pPr>
              <w:pStyle w:val="49"/>
              <w:widowControl w:val="0"/>
              <w:ind w:firstLine="480"/>
              <w:jc w:val="both"/>
              <w:rPr>
                <w:rFonts w:hint="eastAsia" w:ascii="Times New Roman" w:hAnsi="Times New Roman"/>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固体废物：</w:t>
            </w:r>
            <w:r>
              <w:rPr>
                <w:rFonts w:hint="eastAsia" w:ascii="Times New Roman" w:hAnsi="Times New Roman"/>
                <w:color w:val="000000" w:themeColor="text1"/>
                <w:sz w:val="24"/>
                <w:szCs w:val="24"/>
                <w14:textFill>
                  <w14:solidFill>
                    <w14:schemeClr w14:val="tx1"/>
                  </w14:solidFill>
                </w14:textFill>
              </w:rPr>
              <w:t>本项目固体废弃物主要包括生活垃圾、一般工业固体废弃物及危险废物。</w:t>
            </w:r>
          </w:p>
          <w:p>
            <w:pPr>
              <w:pStyle w:val="49"/>
              <w:widowControl w:val="0"/>
              <w:ind w:firstLine="480"/>
              <w:jc w:val="both"/>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（1）生活固体废弃物</w:t>
            </w:r>
          </w:p>
          <w:p>
            <w:pPr>
              <w:pStyle w:val="49"/>
              <w:widowControl w:val="0"/>
              <w:ind w:firstLine="480"/>
              <w:jc w:val="both"/>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生活固体废弃物主要为废纸、废塑料瓶、水果皮等生活垃圾。项目全厂定员15人，按每人每天产生生活垃圾0.5kg计算，项目年生产260天，生活垃圾产生量约1.95t/a。</w:t>
            </w:r>
          </w:p>
          <w:p>
            <w:pPr>
              <w:pStyle w:val="49"/>
              <w:widowControl w:val="0"/>
              <w:ind w:firstLine="480"/>
              <w:jc w:val="both"/>
              <w:rPr>
                <w:rFonts w:hint="eastAsia"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4"/>
                <w:szCs w:val="24"/>
                <w14:textFill>
                  <w14:solidFill>
                    <w14:schemeClr w14:val="tx1"/>
                  </w14:solidFill>
                </w14:textFill>
              </w:rPr>
              <w:t>（2）一般工业固体废弃物</w:t>
            </w:r>
          </w:p>
          <w:p>
            <w:pPr>
              <w:pStyle w:val="6"/>
              <w:widowControl w:val="0"/>
              <w:bidi w:val="0"/>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pPr>
            <w:bookmarkStart w:id="46" w:name="_Toc11222"/>
            <w:r>
              <w:rPr>
                <w:rFonts w:hint="eastAsia" w:ascii="Times New Roman" w:hAnsi="Times New Roman" w:eastAsia="宋体" w:cs="Times New Roman"/>
                <w:b w:val="0"/>
                <w:color w:val="000000" w:themeColor="text1"/>
                <w:sz w:val="24"/>
                <w:szCs w:val="24"/>
                <w:lang w:val="en-US" w:eastAsia="zh-CN" w:bidi="ar-SA"/>
                <w14:textFill>
                  <w14:solidFill>
                    <w14:schemeClr w14:val="tx1"/>
                  </w14:solidFill>
                </w14:textFill>
              </w:rPr>
              <w:t>本项目生产过程产生的固废主要为除尘器收集粉尘、沉淀池废渣和生活垃圾。生活垃圾定期交由环卫部门清运；除尘器收集粉尘全部回用于生产，沉淀池废渣定期清掏后回用于生产；废弃砂石料集中收集后综合利用。</w:t>
            </w:r>
          </w:p>
          <w:p>
            <w:pPr>
              <w:pStyle w:val="6"/>
              <w:bidi w:val="0"/>
              <w:rPr>
                <w:rFonts w:hint="eastAsia"/>
                <w:lang w:val="en-US" w:eastAsia="zh-CN"/>
              </w:rPr>
            </w:pPr>
            <w:r>
              <w:rPr>
                <w:rFonts w:hint="eastAsia"/>
                <w:lang w:val="en-US" w:eastAsia="zh-CN"/>
              </w:rPr>
              <w:t>2.9 项目变更情况</w:t>
            </w:r>
            <w:bookmarkEnd w:id="46"/>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eastAsia" w:ascii="Times New Roman" w:hAnsi="Times New Roman" w:eastAsia="宋体" w:cs="Times New Roman"/>
                <w:kern w:val="2"/>
                <w:sz w:val="24"/>
                <w:szCs w:val="24"/>
                <w:lang w:val="en-US" w:eastAsia="zh-CN"/>
              </w:rPr>
            </w:pPr>
            <w:bookmarkStart w:id="47" w:name="_Hlk19702624"/>
            <w:r>
              <w:rPr>
                <w:rFonts w:hint="eastAsia" w:ascii="Times New Roman" w:hAnsi="Times New Roman" w:eastAsia="宋体" w:cs="Times New Roman"/>
                <w:kern w:val="2"/>
                <w:sz w:val="24"/>
                <w:szCs w:val="24"/>
                <w:lang w:val="en-US" w:eastAsia="zh-CN"/>
              </w:rPr>
              <w:t>根据现场调查并对比环评和批复中建设内容，</w:t>
            </w:r>
            <w:r>
              <w:rPr>
                <w:rFonts w:hint="eastAsia" w:ascii="Times New Roman" w:hAnsi="Times New Roman" w:cs="Times New Roman"/>
                <w:kern w:val="2"/>
                <w:sz w:val="24"/>
                <w:szCs w:val="24"/>
                <w:lang w:val="en-US" w:eastAsia="zh-CN"/>
              </w:rPr>
              <w:t>本项目实际建设中</w:t>
            </w:r>
            <w:r>
              <w:rPr>
                <w:rFonts w:hint="eastAsia" w:ascii="Times New Roman" w:hAnsi="Times New Roman" w:eastAsia="宋体" w:cs="Times New Roman"/>
                <w:kern w:val="2"/>
                <w:sz w:val="24"/>
                <w:szCs w:val="24"/>
                <w:lang w:val="en-US" w:eastAsia="zh-CN"/>
              </w:rPr>
              <w:t>变更内容如下：</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本项目实际建设内容未增加，彩钢夹芯板车间为依托原有厂房，生产线因市场原因暂未建设，不涉及《关于印发环评管理中部分行业建设项目重大变动清单的通知》（环办〔2015〕52 号）中的重大变更。</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eastAsia" w:ascii="宋体" w:hAnsi="宋体" w:eastAsia="宋体" w:cs="宋体"/>
                <w:color w:val="auto"/>
                <w:lang w:val="en-US" w:eastAsia="zh-CN"/>
              </w:rPr>
            </w:pPr>
            <w:r>
              <w:rPr>
                <w:rFonts w:hint="eastAsia" w:ascii="Times New Roman" w:hAnsi="Times New Roman" w:eastAsia="宋体" w:cs="Times New Roman"/>
                <w:kern w:val="2"/>
                <w:sz w:val="24"/>
                <w:szCs w:val="24"/>
                <w:lang w:val="en-US" w:eastAsia="zh-CN"/>
              </w:rPr>
              <w:t>环评阶段设计产品方案为钢结构、彩钢夹芯板、金属压力容器和石油专用设备，实际建设阶段只生产钢结构，暂不生产彩钢夹芯板、金属压力容器和石油专用设备，企业将根据市场需求进行生产，并保证完善相关环保治理设施，并进行竣工验收后投入使用，不涉及《关于印发环评管理中部分行业建设项目重大变动清单的通知》（环办〔2015〕52 号）中的重大变更。</w:t>
            </w:r>
            <w:bookmarkEnd w:id="47"/>
          </w:p>
        </w:tc>
      </w:tr>
    </w:tbl>
    <w:p>
      <w:pPr>
        <w:bidi w:val="0"/>
        <w:rPr>
          <w:rFonts w:hint="eastAsia" w:ascii="宋体" w:hAnsi="宋体" w:eastAsia="宋体" w:cs="宋体"/>
          <w:color w:val="auto"/>
          <w:lang w:val="en-US" w:eastAsia="zh-CN"/>
        </w:rPr>
      </w:pPr>
    </w:p>
    <w:p>
      <w:pPr>
        <w:pStyle w:val="5"/>
        <w:bidi w:val="0"/>
        <w:rPr>
          <w:rFonts w:hint="eastAsia" w:ascii="宋体" w:hAnsi="宋体" w:eastAsia="宋体" w:cs="宋体"/>
          <w:color w:val="auto"/>
          <w:lang w:val="en-US" w:eastAsia="zh-CN"/>
        </w:rPr>
      </w:pPr>
      <w:bookmarkStart w:id="48" w:name="_Toc2253"/>
      <w:r>
        <w:rPr>
          <w:rFonts w:hint="eastAsia" w:ascii="宋体" w:hAnsi="宋体" w:eastAsia="宋体" w:cs="宋体"/>
          <w:color w:val="auto"/>
          <w:lang w:val="en-US" w:eastAsia="zh-CN"/>
        </w:rPr>
        <w:t>表三  主要污染源及治理措施</w:t>
      </w:r>
      <w:bookmarkEnd w:id="48"/>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7" w:hRule="atLeast"/>
        </w:trPr>
        <w:tc>
          <w:tcPr>
            <w:tcW w:w="8516" w:type="dxa"/>
            <w:noWrap w:val="0"/>
            <w:vAlign w:val="top"/>
          </w:tcPr>
          <w:p>
            <w:pPr>
              <w:pStyle w:val="6"/>
              <w:widowControl w:val="0"/>
              <w:rPr>
                <w:rFonts w:hint="eastAsia"/>
                <w:lang w:val="en-US" w:eastAsia="zh-CN"/>
              </w:rPr>
            </w:pPr>
            <w:bookmarkStart w:id="49" w:name="_Toc30754"/>
            <w:bookmarkStart w:id="50" w:name="_Toc12887"/>
            <w:bookmarkStart w:id="51" w:name="_Toc9545"/>
            <w:bookmarkStart w:id="52" w:name="_Toc27186"/>
            <w:bookmarkStart w:id="53" w:name="_Toc16123"/>
            <w:bookmarkStart w:id="54" w:name="_Toc26125"/>
            <w:bookmarkStart w:id="55" w:name="_Toc5912"/>
            <w:r>
              <w:rPr>
                <w:rFonts w:hint="eastAsia"/>
                <w:lang w:val="en-US" w:eastAsia="zh-CN"/>
              </w:rPr>
              <w:t>3.1项目主要污染物调查情况</w:t>
            </w:r>
            <w:bookmarkEnd w:id="49"/>
            <w:bookmarkEnd w:id="50"/>
            <w:bookmarkEnd w:id="51"/>
            <w:bookmarkEnd w:id="52"/>
            <w:bookmarkEnd w:id="53"/>
            <w:bookmarkEnd w:id="54"/>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rPr>
            </w:pPr>
            <w:r>
              <w:rPr>
                <w:rFonts w:hint="eastAsia"/>
              </w:rPr>
              <w:t>根据本项目环评及批复结合现场调查情况</w:t>
            </w:r>
            <w:r>
              <w:rPr>
                <w:rFonts w:hint="eastAsia"/>
                <w:lang w:eastAsia="zh-CN"/>
              </w:rPr>
              <w:t>，</w:t>
            </w:r>
            <w:r>
              <w:rPr>
                <w:rFonts w:hint="eastAsia"/>
              </w:rPr>
              <w:t>主要污染物为</w:t>
            </w:r>
            <w:r>
              <w:rPr>
                <w:rFonts w:hint="default" w:ascii="Times New Roman" w:hAnsi="Times New Roman" w:eastAsia="宋体" w:cs="Times New Roman"/>
                <w:sz w:val="24"/>
                <w:szCs w:val="24"/>
                <w:lang w:val="en-US" w:eastAsia="zh-CN"/>
              </w:rPr>
              <w:t>搅拌工序废气和水泥筒仓、粉煤灰筒仓和矿粉筒仓呼吸孔废气以及厂界无组织粉尘</w:t>
            </w:r>
            <w:r>
              <w:rPr>
                <w:rFonts w:hint="eastAsia"/>
                <w:lang w:val="en-US" w:eastAsia="zh-CN"/>
              </w:rPr>
              <w:t>等</w:t>
            </w:r>
            <w:r>
              <w:rPr>
                <w:rFonts w:hint="eastAsia"/>
                <w:lang w:eastAsia="zh-CN"/>
              </w:rPr>
              <w:t>；</w:t>
            </w:r>
            <w:r>
              <w:rPr>
                <w:rFonts w:hint="eastAsia"/>
                <w:lang w:val="en-US" w:eastAsia="zh-CN"/>
              </w:rPr>
              <w:t>废水主要是生产废水、生活污水等；各运行设备产生的噪声；</w:t>
            </w:r>
            <w:r>
              <w:rPr>
                <w:rFonts w:hint="eastAsia"/>
              </w:rPr>
              <w:t>固体废弃物主要包括生活垃圾</w:t>
            </w:r>
            <w:r>
              <w:rPr>
                <w:rFonts w:hint="eastAsia"/>
                <w:lang w:val="en-US" w:eastAsia="zh-CN"/>
              </w:rPr>
              <w:t>和</w:t>
            </w:r>
            <w:r>
              <w:rPr>
                <w:rFonts w:hint="eastAsia"/>
              </w:rPr>
              <w:t>一般工业固体废弃物。本项目已建成运营</w:t>
            </w:r>
            <w:r>
              <w:rPr>
                <w:rFonts w:hint="eastAsia"/>
                <w:lang w:eastAsia="zh-CN"/>
              </w:rPr>
              <w:t>，</w:t>
            </w:r>
            <w:r>
              <w:rPr>
                <w:rFonts w:hint="eastAsia"/>
              </w:rPr>
              <w:t>根据现场踏勘</w:t>
            </w:r>
            <w:r>
              <w:rPr>
                <w:rFonts w:hint="eastAsia"/>
                <w:lang w:eastAsia="zh-CN"/>
              </w:rPr>
              <w:t>，</w:t>
            </w:r>
            <w:r>
              <w:rPr>
                <w:rFonts w:hint="eastAsia"/>
              </w:rPr>
              <w:t>无施工遗留问题</w:t>
            </w:r>
            <w:r>
              <w:rPr>
                <w:rFonts w:hint="eastAsia"/>
                <w:lang w:eastAsia="zh-CN"/>
              </w:rPr>
              <w:t>，</w:t>
            </w:r>
            <w:r>
              <w:rPr>
                <w:rFonts w:hint="eastAsia"/>
              </w:rPr>
              <w:t>主要污染物来源于运营期。</w:t>
            </w:r>
          </w:p>
          <w:bookmarkEnd w:id="55"/>
          <w:p>
            <w:pPr>
              <w:pStyle w:val="7"/>
              <w:keepNext w:val="0"/>
              <w:keepLines w:val="0"/>
              <w:pageBreakBefore w:val="0"/>
              <w:widowControl w:val="0"/>
              <w:kinsoku/>
              <w:wordWrap/>
              <w:overflowPunct/>
              <w:topLinePunct w:val="0"/>
              <w:autoSpaceDE/>
              <w:autoSpaceDN/>
              <w:bidi w:val="0"/>
              <w:adjustRightInd/>
              <w:snapToGrid/>
              <w:textAlignment w:val="auto"/>
              <w:outlineLvl w:val="2"/>
              <w:rPr>
                <w:rFonts w:hint="eastAsia"/>
              </w:rPr>
            </w:pPr>
            <w:bookmarkStart w:id="56" w:name="_Toc3943"/>
            <w:bookmarkStart w:id="57" w:name="_Toc24556"/>
            <w:r>
              <w:rPr>
                <w:rFonts w:hint="eastAsia"/>
              </w:rPr>
              <w:t>3</w:t>
            </w:r>
            <w:r>
              <w:rPr>
                <w:rFonts w:hint="eastAsia"/>
                <w:lang w:eastAsia="zh-CN"/>
              </w:rPr>
              <w:t>.</w:t>
            </w:r>
            <w:r>
              <w:rPr>
                <w:rFonts w:hint="eastAsia"/>
                <w:lang w:val="en-US" w:eastAsia="zh-CN"/>
              </w:rPr>
              <w:t>1.1</w:t>
            </w:r>
            <w:r>
              <w:rPr>
                <w:rFonts w:hint="eastAsia"/>
              </w:rPr>
              <w:t xml:space="preserve"> 废水</w:t>
            </w:r>
            <w:bookmarkEnd w:id="56"/>
            <w:r>
              <w:rPr>
                <w:rFonts w:hint="eastAsia"/>
              </w:rPr>
              <w:t>排放及治理措施</w:t>
            </w:r>
            <w:bookmarkEnd w:id="57"/>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default" w:ascii="Times New Roman" w:hAnsi="Times New Roman" w:eastAsia="宋体" w:cs="Times New Roman"/>
                <w:sz w:val="24"/>
                <w:szCs w:val="24"/>
                <w:lang w:val="en-US" w:eastAsia="zh-CN"/>
              </w:rPr>
            </w:pPr>
            <w:bookmarkStart w:id="58" w:name="_Toc28127"/>
            <w:bookmarkStart w:id="59" w:name="_Toc13542"/>
            <w:r>
              <w:rPr>
                <w:rFonts w:hint="default" w:ascii="Times New Roman" w:hAnsi="Times New Roman" w:eastAsia="宋体" w:cs="Times New Roman"/>
                <w:sz w:val="24"/>
                <w:szCs w:val="24"/>
                <w:lang w:val="en-US" w:eastAsia="zh-CN"/>
              </w:rPr>
              <w:t>经现场调查，本项目</w:t>
            </w:r>
            <w:r>
              <w:rPr>
                <w:rFonts w:hint="eastAsia" w:ascii="Times New Roman" w:hAnsi="Times New Roman" w:eastAsia="宋体" w:cs="Times New Roman"/>
                <w:sz w:val="24"/>
                <w:szCs w:val="24"/>
                <w:lang w:val="en-US" w:eastAsia="zh-CN"/>
              </w:rPr>
              <w:t>搅拌站</w:t>
            </w:r>
            <w:r>
              <w:rPr>
                <w:rFonts w:hint="default" w:ascii="Times New Roman" w:hAnsi="Times New Roman" w:eastAsia="宋体" w:cs="Times New Roman"/>
                <w:sz w:val="24"/>
                <w:szCs w:val="24"/>
                <w:lang w:val="en-US" w:eastAsia="zh-CN"/>
              </w:rPr>
              <w:t>建成投产后生产</w:t>
            </w:r>
            <w:r>
              <w:rPr>
                <w:rFonts w:hint="eastAsia" w:ascii="Times New Roman" w:hAnsi="Times New Roman" w:eastAsia="宋体" w:cs="Times New Roman"/>
                <w:sz w:val="24"/>
                <w:szCs w:val="24"/>
                <w:lang w:val="en-US" w:eastAsia="zh-CN"/>
              </w:rPr>
              <w:t>过程产生的清洗废水经沉淀后回用于生产</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生活污水经隔油池、化粪池排入市政下水管网，最终进入库尔勒经济技术开发区污水处理厂处理，</w:t>
            </w:r>
            <w:r>
              <w:rPr>
                <w:rFonts w:hint="default" w:ascii="Times New Roman" w:hAnsi="Times New Roman" w:eastAsia="宋体" w:cs="Times New Roman"/>
                <w:sz w:val="24"/>
                <w:szCs w:val="24"/>
                <w:lang w:val="en-US" w:eastAsia="zh-CN"/>
              </w:rPr>
              <w:t>不会对周围水环境产生影响。</w:t>
            </w:r>
          </w:p>
          <w:p>
            <w:pPr>
              <w:pStyle w:val="7"/>
              <w:widowControl w:val="0"/>
              <w:rPr>
                <w:rFonts w:hint="eastAsia"/>
                <w:lang w:eastAsia="zh-CN"/>
              </w:rPr>
            </w:pPr>
            <w:r>
              <w:rPr>
                <w:rFonts w:hint="eastAsia"/>
              </w:rPr>
              <w:t>3</w:t>
            </w:r>
            <w:r>
              <w:rPr>
                <w:rFonts w:hint="eastAsia"/>
                <w:lang w:eastAsia="zh-CN"/>
              </w:rPr>
              <w:t>.</w:t>
            </w:r>
            <w:r>
              <w:rPr>
                <w:rFonts w:hint="eastAsia"/>
                <w:lang w:val="en-US" w:eastAsia="zh-CN"/>
              </w:rPr>
              <w:t>1.2</w:t>
            </w:r>
            <w:r>
              <w:rPr>
                <w:rFonts w:hint="eastAsia"/>
              </w:rPr>
              <w:t xml:space="preserve"> </w:t>
            </w:r>
            <w:r>
              <w:rPr>
                <w:rFonts w:hint="eastAsia"/>
                <w:lang w:eastAsia="zh-CN"/>
              </w:rPr>
              <w:t>废气排放及治理措施</w:t>
            </w:r>
            <w:bookmarkEnd w:id="58"/>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sz w:val="24"/>
                <w:szCs w:val="24"/>
                <w:lang w:val="en-US" w:eastAsia="zh-CN"/>
              </w:rPr>
              <w:t>本项目废气主要是搅拌工序废气和水泥筒仓、粉煤灰筒仓和矿粉筒仓呼吸孔废气以及厂界无组织粉尘：（1）本项目搅拌楼选用120型混凝土搅拌站，该混凝土搅拌机为密封装置，产生的粉尘全部采用自带的主动式除尘器进行除尘，在搅拌机内回用，无排气口。（2）水泥筒仓、粉煤灰筒仓和矿粉筒仓呼吸孔废气：水泥、粉煤灰和矿粉</w:t>
            </w:r>
            <w:r>
              <w:rPr>
                <w:rFonts w:hint="eastAsia" w:ascii="Times New Roman" w:hAnsi="Times New Roman" w:eastAsia="宋体" w:cs="Times New Roman"/>
                <w:sz w:val="24"/>
                <w:szCs w:val="24"/>
                <w:lang w:val="en-US" w:eastAsia="zh-CN"/>
              </w:rPr>
              <w:t>在</w:t>
            </w:r>
            <w:r>
              <w:rPr>
                <w:rFonts w:hint="default" w:ascii="Times New Roman" w:hAnsi="Times New Roman" w:eastAsia="宋体" w:cs="Times New Roman"/>
                <w:sz w:val="24"/>
                <w:szCs w:val="24"/>
                <w:lang w:val="en-US" w:eastAsia="zh-CN"/>
              </w:rPr>
              <w:t>进入筒仓时在其顶部排气孔有少量颗粒物排出，每个筒仓排气孔装有自带的脉冲反吹式袋式除尘器，且筒仓全部设置在密封厂房内，废气排放对环境影响不大。</w:t>
            </w:r>
          </w:p>
          <w:p>
            <w:pPr>
              <w:pStyle w:val="7"/>
              <w:widowControl w:val="0"/>
              <w:bidi w:val="0"/>
              <w:rPr>
                <w:rFonts w:hint="eastAsia"/>
              </w:rPr>
            </w:pPr>
            <w:bookmarkStart w:id="60" w:name="_Toc32767"/>
            <w:r>
              <w:rPr>
                <w:rFonts w:hint="eastAsia"/>
                <w:lang w:val="en-US" w:eastAsia="zh-CN"/>
              </w:rPr>
              <w:t xml:space="preserve">3.1.3 </w:t>
            </w:r>
            <w:r>
              <w:rPr>
                <w:rFonts w:hint="eastAsia"/>
              </w:rPr>
              <w:t>噪声</w:t>
            </w:r>
            <w:bookmarkEnd w:id="59"/>
            <w:r>
              <w:rPr>
                <w:rFonts w:hint="eastAsia"/>
              </w:rPr>
              <w:t>排放及治理措施</w:t>
            </w:r>
            <w:bookmarkEnd w:id="60"/>
          </w:p>
          <w:p>
            <w:pPr>
              <w:widowControl w:val="0"/>
              <w:bidi w:val="0"/>
              <w:ind w:firstLine="480" w:firstLineChars="200"/>
              <w:rPr>
                <w:rFonts w:hint="eastAsia"/>
                <w:lang w:eastAsia="zh-CN"/>
              </w:rPr>
            </w:pPr>
            <w:r>
              <w:rPr>
                <w:rFonts w:hint="default"/>
                <w:lang w:eastAsia="zh-CN"/>
              </w:rPr>
              <w:t>本项目噪声源主要为</w:t>
            </w:r>
            <w:r>
              <w:rPr>
                <w:rFonts w:hint="eastAsia"/>
                <w:lang w:val="en-US" w:eastAsia="zh-CN"/>
              </w:rPr>
              <w:t>各设备运行</w:t>
            </w:r>
            <w:r>
              <w:rPr>
                <w:rFonts w:hint="default"/>
                <w:lang w:eastAsia="zh-CN"/>
              </w:rPr>
              <w:t>时产生的噪声，设备噪音经有效地减震、建筑隔声</w:t>
            </w:r>
            <w:r>
              <w:rPr>
                <w:rFonts w:hint="eastAsia"/>
                <w:lang w:val="en-US" w:eastAsia="zh-CN"/>
              </w:rPr>
              <w:t>和距离衰减，且夜间不生产等措施</w:t>
            </w:r>
            <w:r>
              <w:rPr>
                <w:rFonts w:hint="default"/>
                <w:lang w:eastAsia="zh-CN"/>
              </w:rPr>
              <w:t>后符合《工业企业厂界环境噪声排放标准》(GB12348-2008)</w:t>
            </w:r>
            <w:r>
              <w:rPr>
                <w:rFonts w:hint="eastAsia"/>
                <w:lang w:val="en-US" w:eastAsia="zh-CN"/>
              </w:rPr>
              <w:t>3</w:t>
            </w:r>
            <w:r>
              <w:rPr>
                <w:rFonts w:hint="default"/>
                <w:lang w:eastAsia="zh-CN"/>
              </w:rPr>
              <w:t>类标准要求，噪声对环境影响不大</w:t>
            </w:r>
            <w:r>
              <w:rPr>
                <w:rFonts w:hint="eastAsia"/>
                <w:lang w:eastAsia="zh-CN"/>
              </w:rPr>
              <w:t>。</w:t>
            </w:r>
          </w:p>
          <w:p>
            <w:pPr>
              <w:pStyle w:val="7"/>
              <w:widowControl w:val="0"/>
              <w:rPr>
                <w:rFonts w:hint="eastAsia"/>
              </w:rPr>
            </w:pPr>
            <w:bookmarkStart w:id="61" w:name="_Toc31445"/>
            <w:bookmarkStart w:id="62" w:name="_Toc12772"/>
            <w:r>
              <w:rPr>
                <w:rFonts w:hint="eastAsia"/>
              </w:rPr>
              <w:t>3</w:t>
            </w:r>
            <w:r>
              <w:rPr>
                <w:rFonts w:hint="eastAsia"/>
                <w:lang w:eastAsia="zh-CN"/>
              </w:rPr>
              <w:t>.</w:t>
            </w:r>
            <w:r>
              <w:rPr>
                <w:rFonts w:hint="eastAsia"/>
                <w:lang w:val="en-US" w:eastAsia="zh-CN"/>
              </w:rPr>
              <w:t>1.4</w:t>
            </w:r>
            <w:r>
              <w:rPr>
                <w:rFonts w:hint="eastAsia"/>
              </w:rPr>
              <w:t xml:space="preserve"> 固体废物</w:t>
            </w:r>
            <w:bookmarkEnd w:id="61"/>
            <w:r>
              <w:rPr>
                <w:rFonts w:hint="eastAsia"/>
              </w:rPr>
              <w:t>排放及治理措施</w:t>
            </w:r>
            <w:bookmarkEnd w:id="62"/>
          </w:p>
          <w:p>
            <w:pPr>
              <w:widowControl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过程产生的固废主要为除尘器收集粉尘、沉淀池废渣和生活垃圾。生活垃圾定期交由环卫部门清运；除尘器收集粉尘全部回用于生产，沉淀池废渣定期清掏后回用于生产；废弃砂石料集中收集后综合利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lang w:val="en-US" w:eastAsia="zh-CN"/>
              </w:rPr>
            </w:pPr>
          </w:p>
          <w:p>
            <w:pPr>
              <w:widowControl w:val="0"/>
              <w:rPr>
                <w:rFonts w:hint="eastAsia"/>
                <w:lang w:val="en-US" w:eastAsia="zh-CN"/>
              </w:rPr>
            </w:pPr>
          </w:p>
          <w:p>
            <w:pPr>
              <w:pStyle w:val="2"/>
              <w:widowControl w:val="0"/>
              <w:rPr>
                <w:rFonts w:hint="eastAsia"/>
                <w:lang w:val="en-US" w:eastAsia="zh-CN"/>
              </w:rPr>
            </w:pPr>
          </w:p>
          <w:p>
            <w:pPr>
              <w:widowControl w:val="0"/>
              <w:rPr>
                <w:rFonts w:hint="eastAsia"/>
                <w:lang w:val="en-US" w:eastAsia="zh-CN"/>
              </w:rPr>
            </w:pPr>
          </w:p>
        </w:tc>
      </w:tr>
      <w:bookmarkEnd w:id="8"/>
    </w:tbl>
    <w:p>
      <w:pPr>
        <w:pStyle w:val="5"/>
        <w:bidi w:val="0"/>
        <w:rPr>
          <w:rFonts w:hint="eastAsia" w:ascii="宋体" w:hAnsi="宋体" w:eastAsia="宋体" w:cs="宋体"/>
          <w:color w:val="auto"/>
          <w:lang w:val="en-US" w:eastAsia="zh-CN"/>
        </w:rPr>
        <w:sectPr>
          <w:footerReference r:id="rId11" w:type="default"/>
          <w:pgSz w:w="11906" w:h="16838"/>
          <w:pgMar w:top="1418" w:right="1588" w:bottom="1418" w:left="1418" w:header="851" w:footer="992" w:gutter="0"/>
          <w:pgBorders>
            <w:top w:val="none" w:sz="0" w:space="0"/>
            <w:left w:val="none" w:sz="0" w:space="0"/>
            <w:bottom w:val="none" w:sz="0" w:space="0"/>
            <w:right w:val="none" w:sz="0" w:space="0"/>
          </w:pgBorders>
          <w:pgNumType w:fmt="decimal"/>
          <w:cols w:space="720" w:num="1"/>
          <w:docGrid w:type="lines" w:linePitch="326" w:charSpace="0"/>
        </w:sectPr>
      </w:pPr>
      <w:bookmarkStart w:id="63" w:name="_Toc26697"/>
      <w:bookmarkStart w:id="64" w:name="_Toc17962"/>
      <w:bookmarkStart w:id="65" w:name="_Toc8879"/>
      <w:bookmarkStart w:id="66" w:name="_Toc393"/>
      <w:bookmarkStart w:id="67" w:name="_Toc24750"/>
    </w:p>
    <w:p>
      <w:pPr>
        <w:pStyle w:val="5"/>
        <w:bidi w:val="0"/>
        <w:rPr>
          <w:rFonts w:hint="eastAsia" w:ascii="宋体" w:hAnsi="宋体" w:eastAsia="宋体" w:cs="宋体"/>
          <w:color w:val="auto"/>
          <w:lang w:val="en-US" w:eastAsia="zh-CN"/>
        </w:rPr>
      </w:pPr>
      <w:bookmarkStart w:id="68" w:name="_Toc20184"/>
      <w:r>
        <w:rPr>
          <w:rFonts w:hint="eastAsia" w:ascii="宋体" w:hAnsi="宋体" w:eastAsia="宋体" w:cs="宋体"/>
          <w:color w:val="auto"/>
          <w:lang w:val="en-US" w:eastAsia="zh-CN"/>
        </w:rPr>
        <w:t>表四 验收监测标准</w:t>
      </w:r>
      <w:bookmarkEnd w:id="68"/>
    </w:p>
    <w:bookmarkEnd w:id="63"/>
    <w:bookmarkEnd w:id="64"/>
    <w:bookmarkEnd w:id="65"/>
    <w:bookmarkEnd w:id="66"/>
    <w:bookmarkEnd w:id="67"/>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6" w:hRule="atLeast"/>
        </w:trPr>
        <w:tc>
          <w:tcPr>
            <w:tcW w:w="8660" w:type="dxa"/>
            <w:noWrap w:val="0"/>
            <w:vAlign w:val="top"/>
          </w:tcPr>
          <w:p>
            <w:pPr>
              <w:pStyle w:val="6"/>
              <w:keepNext w:val="0"/>
              <w:keepLines w:val="0"/>
              <w:pageBreakBefore w:val="0"/>
              <w:widowControl w:val="0"/>
              <w:kinsoku/>
              <w:wordWrap/>
              <w:overflowPunct/>
              <w:topLinePunct w:val="0"/>
              <w:autoSpaceDE/>
              <w:autoSpaceDN/>
              <w:bidi w:val="0"/>
              <w:adjustRightInd/>
              <w:snapToGrid/>
              <w:spacing w:before="320" w:beforeLines="100" w:after="10" w:afterLines="0" w:line="360" w:lineRule="auto"/>
              <w:ind w:left="0" w:leftChars="0" w:right="0" w:rightChars="0" w:firstLine="0" w:firstLineChars="0"/>
              <w:jc w:val="both"/>
              <w:textAlignment w:val="auto"/>
              <w:outlineLvl w:val="1"/>
              <w:rPr>
                <w:rFonts w:hint="eastAsia"/>
              </w:rPr>
            </w:pPr>
            <w:bookmarkStart w:id="69" w:name="_Toc24000"/>
            <w:bookmarkStart w:id="70" w:name="_Toc19969"/>
            <w:bookmarkStart w:id="71" w:name="_Toc6562"/>
            <w:r>
              <w:rPr>
                <w:rFonts w:hint="eastAsia"/>
                <w:lang w:val="en-US" w:eastAsia="zh-CN"/>
              </w:rPr>
              <w:t>4</w:t>
            </w:r>
            <w:r>
              <w:rPr>
                <w:rFonts w:hint="eastAsia"/>
                <w:lang w:eastAsia="zh-CN"/>
              </w:rPr>
              <w:t>.</w:t>
            </w:r>
            <w:r>
              <w:rPr>
                <w:rFonts w:hint="eastAsia"/>
                <w:lang w:val="en-US" w:eastAsia="zh-CN"/>
              </w:rPr>
              <w:t xml:space="preserve">1 </w:t>
            </w:r>
            <w:r>
              <w:rPr>
                <w:rFonts w:hint="eastAsia"/>
              </w:rPr>
              <w:t>废</w:t>
            </w:r>
            <w:r>
              <w:rPr>
                <w:rFonts w:hint="eastAsia"/>
                <w:lang w:eastAsia="zh-CN"/>
              </w:rPr>
              <w:t>气</w:t>
            </w:r>
            <w:r>
              <w:rPr>
                <w:rFonts w:hint="eastAsia"/>
              </w:rPr>
              <w:t>验收</w:t>
            </w:r>
            <w:r>
              <w:rPr>
                <w:rFonts w:hint="eastAsia"/>
                <w:lang w:eastAsia="zh-CN"/>
              </w:rPr>
              <w:t>监测</w:t>
            </w:r>
            <w:r>
              <w:rPr>
                <w:rFonts w:hint="eastAsia"/>
              </w:rPr>
              <w:t>标准</w:t>
            </w:r>
            <w:bookmarkEnd w:id="69"/>
            <w:bookmarkEnd w:id="70"/>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sz w:val="24"/>
              </w:rPr>
            </w:pPr>
            <w:bookmarkStart w:id="72" w:name="_Toc25531"/>
            <w:r>
              <w:rPr>
                <w:rFonts w:hint="default" w:ascii="Times New Roman" w:hAnsi="Times New Roman" w:cs="Times New Roman"/>
                <w:sz w:val="24"/>
              </w:rPr>
              <w:t>项目运营期产生的粉尘排放标准执行《水泥工业大气污染物排放标准》（GB4915-2013）表</w:t>
            </w:r>
            <w:r>
              <w:rPr>
                <w:rFonts w:hint="default" w:ascii="Times New Roman" w:hAnsi="Times New Roman" w:cs="Times New Roman"/>
                <w:sz w:val="24"/>
                <w:lang w:val="en-US" w:eastAsia="zh-CN"/>
              </w:rPr>
              <w:t>2</w:t>
            </w:r>
            <w:r>
              <w:rPr>
                <w:rFonts w:hint="default" w:ascii="Times New Roman" w:hAnsi="Times New Roman" w:cs="Times New Roman"/>
                <w:sz w:val="24"/>
              </w:rPr>
              <w:t>中的颗粒物排放限值，即有组织颗粒物</w:t>
            </w:r>
            <w:r>
              <w:rPr>
                <w:rFonts w:hint="eastAsia" w:cs="Times New Roman"/>
                <w:sz w:val="24"/>
                <w:lang w:val="en-US" w:eastAsia="zh-CN"/>
              </w:rPr>
              <w:t>10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，无组织颗粒物0.5mg/m</w:t>
            </w:r>
            <w:r>
              <w:rPr>
                <w:rFonts w:hint="default" w:ascii="Times New Roman" w:hAnsi="Times New Roman" w:cs="Times New Roman"/>
                <w:sz w:val="24"/>
                <w:vertAlign w:val="superscript"/>
              </w:rPr>
              <w:t>3</w:t>
            </w:r>
            <w:r>
              <w:rPr>
                <w:rFonts w:hint="default" w:ascii="Times New Roman" w:hAnsi="Times New Roman" w:cs="Times New Roman"/>
                <w:sz w:val="24"/>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sz w:val="24"/>
              </w:rPr>
              <w:t>食堂产生的油烟执行《饮食行业油烟排放标准》（试行）(GB18483-2001)中的有关规定，2mg/m</w:t>
            </w:r>
            <w:r>
              <w:rPr>
                <w:rFonts w:hint="default" w:ascii="Times New Roman" w:hAnsi="Times New Roman" w:cs="Times New Roman"/>
                <w:sz w:val="24"/>
                <w:vertAlign w:val="superscript"/>
              </w:rPr>
              <w:t>3</w:t>
            </w:r>
            <w:r>
              <w:rPr>
                <w:rFonts w:hint="default" w:ascii="Times New Roman" w:hAnsi="Times New Roman" w:cs="Times New Roman"/>
                <w:sz w:val="24"/>
              </w:rPr>
              <w:t>。</w:t>
            </w:r>
          </w:p>
          <w:p>
            <w:pPr>
              <w:widowControl w:val="0"/>
              <w:bidi w:val="0"/>
              <w:ind w:firstLine="480"/>
              <w:rPr>
                <w:rFonts w:hint="eastAsia"/>
                <w:lang w:val="en-US" w:eastAsia="zh-CN"/>
              </w:rPr>
            </w:pPr>
            <w:r>
              <w:rPr>
                <w:rFonts w:hint="eastAsia"/>
                <w:lang w:val="en-US" w:eastAsia="zh-CN"/>
              </w:rPr>
              <w:t>具体标准值见表4-1。</w:t>
            </w:r>
          </w:p>
          <w:p>
            <w:pPr>
              <w:keepNext w:val="0"/>
              <w:keepLines w:val="0"/>
              <w:pageBreakBefore w:val="0"/>
              <w:widowControl/>
              <w:kinsoku/>
              <w:wordWrap/>
              <w:overflowPunct/>
              <w:topLinePunct w:val="0"/>
              <w:autoSpaceDE/>
              <w:autoSpaceDN/>
              <w:bidi w:val="0"/>
              <w:adjustRightInd/>
              <w:snapToGrid w:val="0"/>
              <w:spacing w:after="0" w:line="240" w:lineRule="auto"/>
              <w:ind w:firstLine="0" w:firstLineChars="0"/>
              <w:jc w:val="center"/>
              <w:textAlignment w:val="auto"/>
              <w:outlineLvl w:val="9"/>
              <w:rPr>
                <w:rFonts w:hint="eastAsia"/>
                <w:lang w:val="en-US" w:eastAsia="zh-CN"/>
              </w:rPr>
            </w:pPr>
            <w:r>
              <w:rPr>
                <w:rFonts w:hint="eastAsia"/>
                <w:lang w:val="en-US" w:eastAsia="zh-CN"/>
              </w:rPr>
              <w:t xml:space="preserve">               </w:t>
            </w:r>
            <w:r>
              <w:rPr>
                <w:rFonts w:hint="eastAsia"/>
              </w:rPr>
              <w:t>表</w:t>
            </w:r>
            <w:r>
              <w:rPr>
                <w:rFonts w:hint="eastAsia"/>
                <w:lang w:val="en-US" w:eastAsia="zh-CN"/>
              </w:rPr>
              <w:t>4</w:t>
            </w:r>
            <w:r>
              <w:rPr>
                <w:rFonts w:hint="eastAsia"/>
              </w:rPr>
              <w:t>-</w:t>
            </w:r>
            <w:r>
              <w:rPr>
                <w:rFonts w:hint="eastAsia"/>
                <w:lang w:val="en-US" w:eastAsia="zh-CN"/>
              </w:rPr>
              <w:t>1</w:t>
            </w:r>
            <w:r>
              <w:rPr>
                <w:rFonts w:hint="eastAsia"/>
              </w:rPr>
              <w:t xml:space="preserve"> </w:t>
            </w:r>
            <w:r>
              <w:rPr>
                <w:rFonts w:hint="eastAsia"/>
                <w:lang w:eastAsia="zh-CN"/>
              </w:rPr>
              <w:t>基本控制项目</w:t>
            </w:r>
            <w:r>
              <w:rPr>
                <w:rFonts w:hint="eastAsia"/>
                <w:lang w:val="en-US" w:eastAsia="zh-CN"/>
              </w:rPr>
              <w:t xml:space="preserve">排放标准        </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25"/>
              <w:gridCol w:w="2056"/>
              <w:gridCol w:w="3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sz w:val="21"/>
                      <w:szCs w:val="21"/>
                    </w:rPr>
                    <w:t>项目</w:t>
                  </w:r>
                </w:p>
              </w:tc>
              <w:tc>
                <w:tcPr>
                  <w:tcW w:w="1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sz w:val="21"/>
                      <w:szCs w:val="21"/>
                    </w:rPr>
                    <w:t>污染因子</w:t>
                  </w:r>
                </w:p>
              </w:tc>
              <w:tc>
                <w:tcPr>
                  <w:tcW w:w="2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sz w:val="21"/>
                      <w:szCs w:val="21"/>
                    </w:rPr>
                    <w:t>验收内容</w:t>
                  </w:r>
                </w:p>
              </w:tc>
              <w:tc>
                <w:tcPr>
                  <w:tcW w:w="36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sz w:val="21"/>
                      <w:szCs w:val="21"/>
                    </w:rPr>
                    <w:t>废气处理</w:t>
                  </w:r>
                </w:p>
              </w:tc>
              <w:tc>
                <w:tcPr>
                  <w:tcW w:w="1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水泥筒仓呼吸孔粉尘</w:t>
                  </w:r>
                </w:p>
              </w:tc>
              <w:tc>
                <w:tcPr>
                  <w:tcW w:w="205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筒仓顶部安装布袋除尘器</w:t>
                  </w:r>
                </w:p>
              </w:tc>
              <w:tc>
                <w:tcPr>
                  <w:tcW w:w="3686"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sz w:val="21"/>
                      <w:szCs w:val="21"/>
                      <w:lang w:val="en-US" w:eastAsia="zh-CN"/>
                    </w:rPr>
                  </w:pPr>
                  <w:r>
                    <w:rPr>
                      <w:rFonts w:hint="default" w:ascii="Times New Roman" w:hAnsi="Times New Roman" w:cs="Times New Roman"/>
                      <w:sz w:val="21"/>
                      <w:szCs w:val="21"/>
                    </w:rPr>
                    <w:t>《水泥工业大气污染物排放标准》（GB4915-2013）表</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中的颗粒物排放限值</w:t>
                  </w:r>
                  <w:r>
                    <w:rPr>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vMerge w:val="continue"/>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sz w:val="21"/>
                      <w:szCs w:val="21"/>
                    </w:rPr>
                  </w:pPr>
                </w:p>
              </w:tc>
              <w:tc>
                <w:tcPr>
                  <w:tcW w:w="192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粉尘</w:t>
                  </w:r>
                </w:p>
              </w:tc>
              <w:tc>
                <w:tcPr>
                  <w:tcW w:w="205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厂界无组织粉尘</w:t>
                  </w:r>
                </w:p>
              </w:tc>
              <w:tc>
                <w:tcPr>
                  <w:tcW w:w="3686" w:type="dxa"/>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sz w:val="21"/>
                      <w:szCs w:val="21"/>
                      <w:lang w:eastAsia="zh-CN"/>
                    </w:rPr>
                  </w:pPr>
                  <w:r>
                    <w:rPr>
                      <w:sz w:val="21"/>
                      <w:szCs w:val="21"/>
                    </w:rPr>
                    <w:t xml:space="preserve">《大气污染物综合排放标准》（GB16297-1996）无组织排放标准限值 </w:t>
                  </w:r>
                </w:p>
              </w:tc>
            </w:tr>
          </w:tbl>
          <w:p>
            <w:pPr>
              <w:pStyle w:val="6"/>
              <w:keepNext/>
              <w:keepLines/>
              <w:pageBreakBefore w:val="0"/>
              <w:widowControl/>
              <w:kinsoku/>
              <w:wordWrap/>
              <w:overflowPunct/>
              <w:topLinePunct w:val="0"/>
              <w:autoSpaceDE/>
              <w:autoSpaceDN/>
              <w:bidi w:val="0"/>
              <w:adjustRightInd/>
              <w:snapToGrid/>
              <w:spacing w:before="320" w:beforeLines="100" w:after="161" w:afterLines="50"/>
              <w:textAlignment w:val="auto"/>
              <w:outlineLvl w:val="1"/>
              <w:rPr>
                <w:rFonts w:hint="eastAsia"/>
                <w:lang w:val="en-US" w:eastAsia="zh-CN"/>
              </w:rPr>
            </w:pPr>
            <w:bookmarkStart w:id="73" w:name="_Toc18089"/>
            <w:r>
              <w:rPr>
                <w:rFonts w:hint="eastAsia"/>
                <w:lang w:val="en-US" w:eastAsia="zh-CN"/>
              </w:rPr>
              <w:t>4</w:t>
            </w:r>
            <w:r>
              <w:rPr>
                <w:rFonts w:hint="eastAsia"/>
                <w:lang w:eastAsia="zh-CN"/>
              </w:rPr>
              <w:t>.</w:t>
            </w:r>
            <w:r>
              <w:rPr>
                <w:rFonts w:hint="eastAsia"/>
                <w:lang w:val="en-US" w:eastAsia="zh-CN"/>
              </w:rPr>
              <w:t>2</w:t>
            </w:r>
            <w:r>
              <w:rPr>
                <w:rFonts w:hint="eastAsia"/>
              </w:rPr>
              <w:t xml:space="preserve"> </w:t>
            </w:r>
            <w:r>
              <w:rPr>
                <w:rFonts w:hint="eastAsia"/>
                <w:lang w:val="en-US" w:eastAsia="zh-CN"/>
              </w:rPr>
              <w:t>废水验收标准</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eastAsia"/>
                <w:lang w:eastAsia="zh-CN"/>
              </w:rPr>
            </w:pPr>
            <w:r>
              <w:rPr>
                <w:rFonts w:hint="default" w:ascii="Times New Roman" w:hAnsi="Times New Roman" w:eastAsia="宋体" w:cs="Times New Roman"/>
                <w:sz w:val="24"/>
                <w:szCs w:val="24"/>
                <w:lang w:val="en-US" w:eastAsia="zh-CN"/>
              </w:rPr>
              <w:t>经现场调查，本项目</w:t>
            </w:r>
            <w:r>
              <w:rPr>
                <w:rFonts w:hint="eastAsia" w:ascii="Times New Roman" w:hAnsi="Times New Roman" w:eastAsia="宋体" w:cs="Times New Roman"/>
                <w:sz w:val="24"/>
                <w:szCs w:val="24"/>
                <w:lang w:val="en-US" w:eastAsia="zh-CN"/>
              </w:rPr>
              <w:t>搅拌站</w:t>
            </w:r>
            <w:r>
              <w:rPr>
                <w:rFonts w:hint="default" w:ascii="Times New Roman" w:hAnsi="Times New Roman" w:eastAsia="宋体" w:cs="Times New Roman"/>
                <w:sz w:val="24"/>
                <w:szCs w:val="24"/>
                <w:lang w:val="en-US" w:eastAsia="zh-CN"/>
              </w:rPr>
              <w:t>建成投产后生产</w:t>
            </w:r>
            <w:r>
              <w:rPr>
                <w:rFonts w:hint="eastAsia" w:ascii="Times New Roman" w:hAnsi="Times New Roman" w:eastAsia="宋体" w:cs="Times New Roman"/>
                <w:sz w:val="24"/>
                <w:szCs w:val="24"/>
                <w:lang w:val="en-US" w:eastAsia="zh-CN"/>
              </w:rPr>
              <w:t>过程产生的清洗废水经沉淀后回用于生产</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生活污水经隔油池、化粪池排入市政下水管网，最终进入库尔勒经济技术开发区污水处理厂处理，</w:t>
            </w:r>
            <w:r>
              <w:rPr>
                <w:rFonts w:hint="default" w:ascii="Times New Roman" w:hAnsi="Times New Roman" w:eastAsia="宋体" w:cs="Times New Roman"/>
                <w:sz w:val="24"/>
                <w:szCs w:val="24"/>
                <w:lang w:val="en-US" w:eastAsia="zh-CN"/>
              </w:rPr>
              <w:t>不会对周围水环境产生影响。</w:t>
            </w:r>
            <w:r>
              <w:rPr>
                <w:rFonts w:hint="eastAsia" w:cs="Times New Roman"/>
                <w:sz w:val="24"/>
                <w:szCs w:val="24"/>
                <w:lang w:val="en-US" w:eastAsia="zh-CN"/>
              </w:rPr>
              <w:t>因项目区暂未完成全部建设，市政污水管网暂未敷设，项目区少量的生活污水排入化粪池后用于厂区绿化，排放执行</w:t>
            </w:r>
            <w:r>
              <w:rPr>
                <w:rFonts w:hint="eastAsia"/>
              </w:rPr>
              <w:t>《污水综合排放标准》</w:t>
            </w:r>
            <w:r>
              <w:rPr>
                <w:rFonts w:hint="eastAsia"/>
                <w:lang w:eastAsia="zh-CN"/>
              </w:rPr>
              <w:t>（</w:t>
            </w:r>
            <w:r>
              <w:rPr>
                <w:rFonts w:hint="eastAsia"/>
              </w:rPr>
              <w:t>GB8978-1996</w:t>
            </w:r>
            <w:r>
              <w:rPr>
                <w:rFonts w:hint="eastAsia"/>
                <w:lang w:eastAsia="zh-CN"/>
              </w:rPr>
              <w:t>）</w:t>
            </w:r>
            <w:r>
              <w:rPr>
                <w:rFonts w:hint="eastAsia"/>
              </w:rPr>
              <w:t>中三级标准</w:t>
            </w:r>
            <w:r>
              <w:rPr>
                <w:rFonts w:hint="eastAsia"/>
                <w:lang w:eastAsia="zh-CN"/>
              </w:rPr>
              <w:t>。</w:t>
            </w:r>
          </w:p>
          <w:p>
            <w:pPr>
              <w:bidi w:val="0"/>
              <w:jc w:val="center"/>
              <w:rPr>
                <w:rFonts w:hint="eastAsia"/>
                <w:b/>
                <w:bCs/>
                <w:lang w:val="en-US" w:eastAsia="zh-CN"/>
              </w:rPr>
            </w:pPr>
            <w:r>
              <w:rPr>
                <w:rFonts w:hint="eastAsia"/>
                <w:b/>
                <w:bCs/>
                <w:lang w:val="en-US" w:eastAsia="zh-CN"/>
              </w:rPr>
              <w:t>表4-2    污水排放标准现值</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25"/>
              <w:gridCol w:w="2250"/>
              <w:gridCol w:w="3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9"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项目</w:t>
                  </w:r>
                </w:p>
              </w:tc>
              <w:tc>
                <w:tcPr>
                  <w:tcW w:w="1925"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污染因子</w:t>
                  </w:r>
                </w:p>
              </w:tc>
              <w:tc>
                <w:tcPr>
                  <w:tcW w:w="2250"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验收内容</w:t>
                  </w:r>
                </w:p>
              </w:tc>
              <w:tc>
                <w:tcPr>
                  <w:tcW w:w="3492"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9" w:type="dxa"/>
                  <w:noWrap w:val="0"/>
                  <w:vAlign w:val="center"/>
                </w:tcPr>
                <w:p>
                  <w:pPr>
                    <w:widowControl/>
                    <w:ind w:firstLine="0" w:firstLineChars="0"/>
                    <w:jc w:val="center"/>
                    <w:rPr>
                      <w:rFonts w:hint="eastAsia" w:eastAsia="宋体"/>
                      <w:sz w:val="21"/>
                      <w:szCs w:val="21"/>
                      <w:lang w:val="en-US" w:eastAsia="zh-CN"/>
                    </w:rPr>
                  </w:pPr>
                  <w:r>
                    <w:rPr>
                      <w:rFonts w:hint="eastAsia"/>
                      <w:sz w:val="21"/>
                      <w:szCs w:val="21"/>
                      <w:lang w:val="en-US" w:eastAsia="zh-CN"/>
                    </w:rPr>
                    <w:t>废水</w:t>
                  </w:r>
                </w:p>
              </w:tc>
              <w:tc>
                <w:tcPr>
                  <w:tcW w:w="1925" w:type="dxa"/>
                  <w:noWrap w:val="0"/>
                  <w:vAlign w:val="center"/>
                </w:tcPr>
                <w:p>
                  <w:pPr>
                    <w:widowControl/>
                    <w:ind w:firstLine="0" w:firstLineChars="0"/>
                    <w:jc w:val="center"/>
                    <w:rPr>
                      <w:rFonts w:hint="eastAsia" w:eastAsia="宋体"/>
                      <w:sz w:val="21"/>
                      <w:szCs w:val="21"/>
                      <w:lang w:val="en-US" w:eastAsia="zh-CN"/>
                    </w:rPr>
                  </w:pPr>
                  <w:r>
                    <w:rPr>
                      <w:rFonts w:hint="eastAsia" w:ascii="宋体" w:hAnsi="宋体"/>
                      <w:b w:val="0"/>
                      <w:bCs w:val="0"/>
                      <w:sz w:val="21"/>
                      <w:szCs w:val="21"/>
                      <w:lang w:val="en-US" w:eastAsia="zh-CN"/>
                    </w:rPr>
                    <w:t>悬浮物、COD</w:t>
                  </w:r>
                  <w:r>
                    <w:rPr>
                      <w:rFonts w:hint="eastAsia" w:ascii="宋体" w:hAnsi="宋体"/>
                      <w:b w:val="0"/>
                      <w:bCs w:val="0"/>
                      <w:sz w:val="21"/>
                      <w:szCs w:val="21"/>
                      <w:vertAlign w:val="subscript"/>
                      <w:lang w:val="en-US" w:eastAsia="zh-CN"/>
                    </w:rPr>
                    <w:t>Cr</w:t>
                  </w:r>
                  <w:r>
                    <w:rPr>
                      <w:sz w:val="21"/>
                      <w:szCs w:val="21"/>
                    </w:rPr>
                    <w:t>、</w:t>
                  </w:r>
                  <w:r>
                    <w:rPr>
                      <w:rFonts w:hint="eastAsia"/>
                      <w:sz w:val="21"/>
                      <w:szCs w:val="21"/>
                      <w:lang w:val="en-US" w:eastAsia="zh-CN"/>
                    </w:rPr>
                    <w:t>BOD</w:t>
                  </w:r>
                  <w:r>
                    <w:rPr>
                      <w:rFonts w:hint="eastAsia"/>
                      <w:sz w:val="21"/>
                      <w:szCs w:val="21"/>
                      <w:lang w:eastAsia="zh-CN"/>
                    </w:rPr>
                    <w:t>、</w:t>
                  </w:r>
                  <w:r>
                    <w:rPr>
                      <w:rFonts w:hint="eastAsia"/>
                      <w:sz w:val="21"/>
                      <w:szCs w:val="21"/>
                      <w:lang w:val="en-US" w:eastAsia="zh-CN"/>
                    </w:rPr>
                    <w:t>氨氮、</w:t>
                  </w:r>
                  <w:r>
                    <w:rPr>
                      <w:rFonts w:hint="eastAsia" w:ascii="宋体" w:hAnsi="宋体"/>
                      <w:b w:val="0"/>
                      <w:bCs w:val="0"/>
                      <w:sz w:val="21"/>
                      <w:szCs w:val="21"/>
                      <w:lang w:eastAsia="zh-CN"/>
                    </w:rPr>
                    <w:t>阴离子表面活性剂</w:t>
                  </w:r>
                </w:p>
              </w:tc>
              <w:tc>
                <w:tcPr>
                  <w:tcW w:w="2250" w:type="dxa"/>
                  <w:noWrap w:val="0"/>
                  <w:vAlign w:val="center"/>
                </w:tcPr>
                <w:p>
                  <w:pPr>
                    <w:widowControl/>
                    <w:ind w:firstLine="0" w:firstLineChars="0"/>
                    <w:jc w:val="center"/>
                    <w:rPr>
                      <w:rFonts w:hint="default" w:eastAsia="宋体"/>
                      <w:sz w:val="21"/>
                      <w:szCs w:val="21"/>
                      <w:lang w:val="en-US" w:eastAsia="zh-CN"/>
                    </w:rPr>
                  </w:pPr>
                  <w:r>
                    <w:rPr>
                      <w:rFonts w:hint="eastAsia"/>
                      <w:sz w:val="21"/>
                      <w:szCs w:val="21"/>
                      <w:lang w:val="en-US" w:eastAsia="zh-CN"/>
                    </w:rPr>
                    <w:t>达标排放</w:t>
                  </w:r>
                </w:p>
              </w:tc>
              <w:tc>
                <w:tcPr>
                  <w:tcW w:w="3492" w:type="dxa"/>
                  <w:noWrap w:val="0"/>
                  <w:vAlign w:val="center"/>
                </w:tcPr>
                <w:p>
                  <w:pPr>
                    <w:widowControl/>
                    <w:ind w:firstLine="0" w:firstLineChars="0"/>
                    <w:jc w:val="center"/>
                    <w:rPr>
                      <w:rFonts w:hint="default"/>
                      <w:sz w:val="21"/>
                      <w:szCs w:val="21"/>
                      <w:lang w:val="en-US" w:eastAsia="zh-CN"/>
                    </w:rPr>
                  </w:pPr>
                  <w:r>
                    <w:rPr>
                      <w:rFonts w:hint="eastAsia"/>
                      <w:sz w:val="21"/>
                      <w:szCs w:val="21"/>
                    </w:rPr>
                    <w:t>《污水综合排放标准》</w:t>
                  </w:r>
                  <w:r>
                    <w:rPr>
                      <w:rFonts w:hint="eastAsia"/>
                      <w:sz w:val="21"/>
                      <w:szCs w:val="21"/>
                      <w:lang w:eastAsia="zh-CN"/>
                    </w:rPr>
                    <w:t>（</w:t>
                  </w:r>
                  <w:r>
                    <w:rPr>
                      <w:rFonts w:hint="eastAsia"/>
                      <w:sz w:val="21"/>
                      <w:szCs w:val="21"/>
                    </w:rPr>
                    <w:t>GB8978-1996</w:t>
                  </w:r>
                  <w:r>
                    <w:rPr>
                      <w:rFonts w:hint="eastAsia"/>
                      <w:sz w:val="21"/>
                      <w:szCs w:val="21"/>
                      <w:lang w:eastAsia="zh-CN"/>
                    </w:rPr>
                    <w:t>）</w:t>
                  </w:r>
                  <w:r>
                    <w:rPr>
                      <w:rFonts w:hint="eastAsia"/>
                      <w:sz w:val="21"/>
                      <w:szCs w:val="21"/>
                    </w:rPr>
                    <w:t>中三级标准</w:t>
                  </w:r>
                </w:p>
              </w:tc>
            </w:tr>
          </w:tbl>
          <w:p>
            <w:pPr>
              <w:pStyle w:val="6"/>
              <w:keepNext/>
              <w:keepLines/>
              <w:pageBreakBefore w:val="0"/>
              <w:widowControl/>
              <w:kinsoku/>
              <w:wordWrap/>
              <w:overflowPunct/>
              <w:topLinePunct w:val="0"/>
              <w:autoSpaceDE/>
              <w:autoSpaceDN/>
              <w:bidi w:val="0"/>
              <w:adjustRightInd/>
              <w:snapToGrid/>
              <w:spacing w:before="320" w:beforeLines="100" w:after="161" w:afterLines="50"/>
              <w:textAlignment w:val="auto"/>
              <w:outlineLvl w:val="1"/>
              <w:rPr>
                <w:rFonts w:hint="eastAsia"/>
              </w:rPr>
            </w:pPr>
            <w:r>
              <w:rPr>
                <w:rFonts w:hint="eastAsia"/>
                <w:lang w:val="en-US" w:eastAsia="zh-CN"/>
              </w:rPr>
              <w:t>4.3</w:t>
            </w:r>
            <w:r>
              <w:rPr>
                <w:rFonts w:hint="eastAsia"/>
              </w:rPr>
              <w:t>验收标准</w:t>
            </w:r>
            <w:bookmarkEnd w:id="72"/>
            <w:bookmarkEnd w:id="73"/>
          </w:p>
          <w:p>
            <w:pPr>
              <w:widowControl w:val="0"/>
              <w:ind w:firstLine="480" w:firstLineChars="200"/>
              <w:rPr>
                <w:rFonts w:hint="eastAsia"/>
              </w:rPr>
            </w:pPr>
            <w:r>
              <w:rPr>
                <w:rFonts w:hint="eastAsia"/>
              </w:rPr>
              <w:t>厂噪声排放标准执行</w:t>
            </w:r>
            <w:r>
              <w:rPr>
                <w:rFonts w:hint="eastAsia"/>
                <w:lang w:eastAsia="zh-CN"/>
              </w:rPr>
              <w:t>《工业企业厂界</w:t>
            </w:r>
            <w:r>
              <w:rPr>
                <w:rFonts w:hint="eastAsia"/>
              </w:rPr>
              <w:t xml:space="preserve">环境噪声排放标准》（GB </w:t>
            </w:r>
            <w:r>
              <w:rPr>
                <w:rFonts w:hint="eastAsia"/>
                <w:lang w:val="en-US" w:eastAsia="zh-CN"/>
              </w:rPr>
              <w:t>12348</w:t>
            </w:r>
            <w:r>
              <w:rPr>
                <w:rFonts w:hint="eastAsia"/>
              </w:rPr>
              <w:t>-2008</w:t>
            </w:r>
            <w:r>
              <w:rPr>
                <w:rFonts w:hint="eastAsia"/>
                <w:lang w:eastAsia="zh-CN"/>
              </w:rPr>
              <w:t>）</w:t>
            </w:r>
            <w:r>
              <w:rPr>
                <w:rFonts w:hint="eastAsia"/>
              </w:rPr>
              <w:t>中</w:t>
            </w:r>
            <w:r>
              <w:rPr>
                <w:rFonts w:hint="eastAsia"/>
                <w:lang w:val="en-US" w:eastAsia="zh-CN"/>
              </w:rPr>
              <w:t>3</w:t>
            </w:r>
            <w:r>
              <w:rPr>
                <w:rFonts w:hint="eastAsia"/>
              </w:rPr>
              <w:t>类标准。具体标准值见表</w:t>
            </w:r>
            <w:r>
              <w:rPr>
                <w:rFonts w:hint="eastAsia"/>
                <w:lang w:val="en-US" w:eastAsia="zh-CN"/>
              </w:rPr>
              <w:t>4</w:t>
            </w:r>
            <w:r>
              <w:rPr>
                <w:rFonts w:hint="eastAsia"/>
              </w:rPr>
              <w:t>-</w:t>
            </w:r>
            <w:r>
              <w:rPr>
                <w:rFonts w:hint="eastAsia"/>
                <w:lang w:val="en-US" w:eastAsia="zh-CN"/>
              </w:rPr>
              <w:t>3</w:t>
            </w:r>
            <w:r>
              <w:rPr>
                <w:rFonts w:hint="eastAsia"/>
              </w:rPr>
              <w:t>。</w:t>
            </w:r>
          </w:p>
          <w:p>
            <w:pPr>
              <w:widowControl w:val="0"/>
              <w:spacing w:line="560" w:lineRule="exact"/>
              <w:jc w:val="center"/>
              <w:rPr>
                <w:rFonts w:hint="default"/>
              </w:rPr>
            </w:pPr>
            <w:r>
              <w:rPr>
                <w:rFonts w:hint="default"/>
              </w:rPr>
              <w:t>表</w:t>
            </w:r>
            <w:r>
              <w:rPr>
                <w:rFonts w:hint="default"/>
                <w:lang w:val="en-US" w:eastAsia="zh-CN"/>
              </w:rPr>
              <w:t>4</w:t>
            </w:r>
            <w:r>
              <w:rPr>
                <w:rFonts w:hint="default"/>
              </w:rPr>
              <w:t>-</w:t>
            </w:r>
            <w:r>
              <w:rPr>
                <w:rFonts w:hint="eastAsia"/>
                <w:lang w:val="en-US" w:eastAsia="zh-CN"/>
              </w:rPr>
              <w:t>3</w:t>
            </w:r>
            <w:r>
              <w:rPr>
                <w:rFonts w:hint="default"/>
              </w:rPr>
              <w:t xml:space="preserve"> </w:t>
            </w:r>
            <w:r>
              <w:rPr>
                <w:rFonts w:hint="default"/>
                <w:lang w:eastAsia="zh-CN"/>
              </w:rPr>
              <w:t>工业企业厂界</w:t>
            </w:r>
            <w:r>
              <w:rPr>
                <w:rFonts w:hint="default"/>
              </w:rPr>
              <w:t>环境噪声排放标准限值</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25"/>
              <w:gridCol w:w="2250"/>
              <w:gridCol w:w="3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项目</w:t>
                  </w:r>
                </w:p>
              </w:tc>
              <w:tc>
                <w:tcPr>
                  <w:tcW w:w="1925"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污染因子</w:t>
                  </w:r>
                </w:p>
              </w:tc>
              <w:tc>
                <w:tcPr>
                  <w:tcW w:w="2250"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验收内容</w:t>
                  </w:r>
                </w:p>
              </w:tc>
              <w:tc>
                <w:tcPr>
                  <w:tcW w:w="3492"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noWrap w:val="0"/>
                  <w:vAlign w:val="center"/>
                </w:tcPr>
                <w:p>
                  <w:pPr>
                    <w:widowControl/>
                    <w:ind w:firstLine="0" w:firstLineChars="0"/>
                    <w:jc w:val="center"/>
                    <w:rPr>
                      <w:rFonts w:hint="default"/>
                      <w:sz w:val="21"/>
                      <w:szCs w:val="21"/>
                      <w:lang w:val="en-US" w:eastAsia="zh-CN"/>
                    </w:rPr>
                  </w:pPr>
                  <w:r>
                    <w:rPr>
                      <w:sz w:val="21"/>
                      <w:szCs w:val="21"/>
                    </w:rPr>
                    <w:t>噪声</w:t>
                  </w:r>
                </w:p>
              </w:tc>
              <w:tc>
                <w:tcPr>
                  <w:tcW w:w="1925" w:type="dxa"/>
                  <w:noWrap w:val="0"/>
                  <w:vAlign w:val="center"/>
                </w:tcPr>
                <w:p>
                  <w:pPr>
                    <w:widowControl/>
                    <w:ind w:firstLine="0" w:firstLineChars="0"/>
                    <w:jc w:val="center"/>
                    <w:rPr>
                      <w:rFonts w:hint="default"/>
                      <w:sz w:val="21"/>
                      <w:szCs w:val="21"/>
                      <w:lang w:val="en-US" w:eastAsia="zh-CN"/>
                    </w:rPr>
                  </w:pPr>
                  <w:r>
                    <w:rPr>
                      <w:sz w:val="21"/>
                      <w:szCs w:val="21"/>
                    </w:rPr>
                    <w:t>生产设备运行、运输车辆噪声</w:t>
                  </w:r>
                </w:p>
              </w:tc>
              <w:tc>
                <w:tcPr>
                  <w:tcW w:w="2250" w:type="dxa"/>
                  <w:noWrap w:val="0"/>
                  <w:vAlign w:val="center"/>
                </w:tcPr>
                <w:p>
                  <w:pPr>
                    <w:widowControl/>
                    <w:ind w:firstLine="0" w:firstLineChars="0"/>
                    <w:jc w:val="center"/>
                    <w:rPr>
                      <w:rFonts w:hint="default"/>
                      <w:sz w:val="21"/>
                      <w:szCs w:val="21"/>
                      <w:lang w:val="en-US" w:eastAsia="zh-CN"/>
                    </w:rPr>
                  </w:pPr>
                  <w:r>
                    <w:rPr>
                      <w:sz w:val="21"/>
                      <w:szCs w:val="21"/>
                    </w:rPr>
                    <w:t>设备噪声车间隔音、加装消声、减震装置</w:t>
                  </w:r>
                </w:p>
              </w:tc>
              <w:tc>
                <w:tcPr>
                  <w:tcW w:w="3492" w:type="dxa"/>
                  <w:noWrap w:val="0"/>
                  <w:vAlign w:val="center"/>
                </w:tcPr>
                <w:p>
                  <w:pPr>
                    <w:widowControl/>
                    <w:ind w:firstLine="0" w:firstLineChars="0"/>
                    <w:jc w:val="center"/>
                    <w:rPr>
                      <w:rFonts w:hint="default"/>
                      <w:sz w:val="21"/>
                      <w:szCs w:val="21"/>
                      <w:lang w:val="en-US" w:eastAsia="zh-CN"/>
                    </w:rPr>
                  </w:pPr>
                  <w:r>
                    <w:rPr>
                      <w:sz w:val="21"/>
                      <w:szCs w:val="21"/>
                    </w:rPr>
                    <w:t>厂界噪声符合《工业企业厂界环境噪声排放标准》（GB12348-2008）中的3类标准</w:t>
                  </w:r>
                </w:p>
              </w:tc>
            </w:tr>
          </w:tbl>
          <w:p>
            <w:pPr>
              <w:pStyle w:val="6"/>
              <w:widowControl w:val="0"/>
              <w:bidi w:val="0"/>
              <w:rPr>
                <w:rFonts w:hint="eastAsia"/>
                <w:lang w:val="en-US" w:eastAsia="zh-CN"/>
              </w:rPr>
            </w:pPr>
            <w:bookmarkStart w:id="74" w:name="_Toc13883"/>
            <w:r>
              <w:rPr>
                <w:rFonts w:hint="eastAsia"/>
                <w:lang w:val="en-US" w:eastAsia="zh-CN"/>
              </w:rPr>
              <w:t>4.3固体废物调查标准</w:t>
            </w:r>
            <w:bookmarkEnd w:id="74"/>
          </w:p>
          <w:p>
            <w:pPr>
              <w:ind w:firstLine="480" w:firstLineChars="200"/>
              <w:rPr>
                <w:rFonts w:hint="default"/>
                <w:lang w:val="en-US" w:eastAsia="zh-CN"/>
              </w:rPr>
            </w:pPr>
            <w:r>
              <w:rPr>
                <w:rFonts w:hint="eastAsia"/>
                <w:lang w:val="en-US" w:eastAsia="zh-CN"/>
              </w:rPr>
              <w:t>经调查，本项目</w:t>
            </w:r>
            <w:r>
              <w:rPr>
                <w:rFonts w:hint="eastAsia"/>
              </w:rPr>
              <w:t>生活垃圾定期交由环卫部门清运</w:t>
            </w:r>
            <w:r>
              <w:rPr>
                <w:rFonts w:hint="eastAsia"/>
                <w:lang w:eastAsia="zh-CN"/>
              </w:rPr>
              <w:t>；</w:t>
            </w:r>
            <w:r>
              <w:rPr>
                <w:rFonts w:hint="eastAsia"/>
              </w:rPr>
              <w:t>除尘器收集粉尘全部回用于生产</w:t>
            </w:r>
            <w:r>
              <w:rPr>
                <w:rFonts w:hint="eastAsia"/>
                <w:lang w:eastAsia="zh-CN"/>
              </w:rPr>
              <w:t>：</w:t>
            </w:r>
            <w:r>
              <w:rPr>
                <w:rFonts w:hint="eastAsia"/>
              </w:rPr>
              <w:t>沉淀池废渣定期清掏后国用于生产</w:t>
            </w:r>
            <w:r>
              <w:rPr>
                <w:rFonts w:hint="eastAsia"/>
                <w:lang w:eastAsia="zh-CN"/>
              </w:rPr>
              <w:t>；</w:t>
            </w:r>
            <w:r>
              <w:rPr>
                <w:rFonts w:hint="eastAsia"/>
              </w:rPr>
              <w:t>废弃砂石料集中收集后综合利用。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925"/>
              <w:gridCol w:w="3325"/>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项目</w:t>
                  </w:r>
                </w:p>
              </w:tc>
              <w:tc>
                <w:tcPr>
                  <w:tcW w:w="1925"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污染因子</w:t>
                  </w:r>
                </w:p>
              </w:tc>
              <w:tc>
                <w:tcPr>
                  <w:tcW w:w="3325"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验收内容</w:t>
                  </w:r>
                </w:p>
              </w:tc>
              <w:tc>
                <w:tcPr>
                  <w:tcW w:w="2417" w:type="dxa"/>
                  <w:noWrap w:val="0"/>
                  <w:vAlign w:val="center"/>
                </w:tcPr>
                <w:p>
                  <w:pPr>
                    <w:widowControl/>
                    <w:ind w:firstLine="0" w:firstLineChars="0"/>
                    <w:jc w:val="center"/>
                    <w:rPr>
                      <w:rFonts w:hint="default" w:ascii="Times New Roman" w:hAnsi="Times New Roman" w:eastAsia="宋体" w:cs="Times New Roman"/>
                      <w:sz w:val="21"/>
                      <w:szCs w:val="21"/>
                      <w:lang w:val="en-US" w:eastAsia="zh-CN" w:bidi="ar-SA"/>
                    </w:rPr>
                  </w:pPr>
                  <w:r>
                    <w:rPr>
                      <w:sz w:val="21"/>
                      <w:szCs w:val="21"/>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vMerge w:val="restart"/>
                  <w:noWrap w:val="0"/>
                  <w:vAlign w:val="center"/>
                </w:tcPr>
                <w:p>
                  <w:pPr>
                    <w:widowControl/>
                    <w:ind w:firstLine="0" w:firstLineChars="0"/>
                    <w:jc w:val="center"/>
                    <w:rPr>
                      <w:rFonts w:hint="default"/>
                      <w:sz w:val="21"/>
                      <w:szCs w:val="21"/>
                      <w:lang w:val="en-US" w:eastAsia="zh-CN"/>
                    </w:rPr>
                  </w:pPr>
                  <w:r>
                    <w:rPr>
                      <w:rFonts w:hint="eastAsia"/>
                      <w:sz w:val="21"/>
                      <w:szCs w:val="21"/>
                      <w:lang w:val="en-US" w:eastAsia="zh-CN"/>
                    </w:rPr>
                    <w:t>固体废物</w:t>
                  </w:r>
                </w:p>
              </w:tc>
              <w:tc>
                <w:tcPr>
                  <w:tcW w:w="1925" w:type="dxa"/>
                  <w:noWrap w:val="0"/>
                  <w:vAlign w:val="center"/>
                </w:tcPr>
                <w:p>
                  <w:pPr>
                    <w:widowControl/>
                    <w:ind w:firstLine="0" w:firstLineChars="0"/>
                    <w:jc w:val="center"/>
                    <w:rPr>
                      <w:rFonts w:hint="default" w:ascii="Times New Roman" w:hAnsi="Times New Roman" w:eastAsia="宋体" w:cs="Times New Roman"/>
                      <w:kern w:val="0"/>
                      <w:sz w:val="21"/>
                      <w:szCs w:val="21"/>
                      <w:lang w:val="en-US" w:eastAsia="zh-CN" w:bidi="ar-SA"/>
                    </w:rPr>
                  </w:pPr>
                  <w:r>
                    <w:rPr>
                      <w:kern w:val="0"/>
                      <w:sz w:val="21"/>
                      <w:szCs w:val="21"/>
                    </w:rPr>
                    <w:t>生活垃圾</w:t>
                  </w:r>
                </w:p>
              </w:tc>
              <w:tc>
                <w:tcPr>
                  <w:tcW w:w="3325" w:type="dxa"/>
                  <w:noWrap w:val="0"/>
                  <w:vAlign w:val="center"/>
                </w:tcPr>
                <w:p>
                  <w:pPr>
                    <w:widowControl/>
                    <w:ind w:firstLine="0" w:firstLineChars="0"/>
                    <w:jc w:val="center"/>
                    <w:rPr>
                      <w:rFonts w:hint="default" w:ascii="Times New Roman" w:hAnsi="Times New Roman" w:eastAsia="宋体" w:cs="Times New Roman"/>
                      <w:kern w:val="0"/>
                      <w:sz w:val="21"/>
                      <w:szCs w:val="21"/>
                      <w:lang w:val="en-US" w:eastAsia="zh-CN" w:bidi="ar-SA"/>
                    </w:rPr>
                  </w:pPr>
                  <w:r>
                    <w:rPr>
                      <w:kern w:val="0"/>
                      <w:sz w:val="21"/>
                      <w:szCs w:val="21"/>
                    </w:rPr>
                    <w:t>经垃圾箱收集后由环卫部门定期清运</w:t>
                  </w:r>
                </w:p>
              </w:tc>
              <w:tc>
                <w:tcPr>
                  <w:tcW w:w="2417" w:type="dxa"/>
                  <w:noWrap w:val="0"/>
                  <w:vAlign w:val="center"/>
                </w:tcPr>
                <w:p>
                  <w:pPr>
                    <w:widowControl/>
                    <w:ind w:firstLine="0" w:firstLineChars="0"/>
                    <w:jc w:val="center"/>
                    <w:rPr>
                      <w:rFonts w:hint="default" w:ascii="Times New Roman" w:hAnsi="Times New Roman" w:eastAsia="宋体" w:cs="Times New Roman"/>
                      <w:kern w:val="0"/>
                      <w:sz w:val="21"/>
                      <w:szCs w:val="21"/>
                      <w:lang w:val="en-US" w:eastAsia="zh-CN" w:bidi="ar-SA"/>
                    </w:rPr>
                  </w:pPr>
                  <w:r>
                    <w:rPr>
                      <w:kern w:val="0"/>
                      <w:sz w:val="21"/>
                      <w:szCs w:val="21"/>
                    </w:rPr>
                    <w:t>对环境影响较小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9" w:type="dxa"/>
                  <w:vMerge w:val="continue"/>
                  <w:noWrap w:val="0"/>
                  <w:vAlign w:val="center"/>
                </w:tcPr>
                <w:p>
                  <w:pPr>
                    <w:widowControl/>
                    <w:ind w:firstLine="0" w:firstLineChars="0"/>
                    <w:jc w:val="center"/>
                    <w:rPr>
                      <w:kern w:val="0"/>
                      <w:sz w:val="21"/>
                      <w:szCs w:val="21"/>
                    </w:rPr>
                  </w:pPr>
                </w:p>
              </w:tc>
              <w:tc>
                <w:tcPr>
                  <w:tcW w:w="1925" w:type="dxa"/>
                  <w:noWrap w:val="0"/>
                  <w:vAlign w:val="center"/>
                </w:tcPr>
                <w:p>
                  <w:pPr>
                    <w:widowControl/>
                    <w:ind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除尘器收集粉尘、沉淀池废渣</w:t>
                  </w:r>
                </w:p>
              </w:tc>
              <w:tc>
                <w:tcPr>
                  <w:tcW w:w="3325" w:type="dxa"/>
                  <w:noWrap w:val="0"/>
                  <w:vAlign w:val="center"/>
                </w:tcPr>
                <w:p>
                  <w:pPr>
                    <w:widowControl/>
                    <w:ind w:firstLine="0" w:firstLineChars="0"/>
                    <w:jc w:val="center"/>
                    <w:rPr>
                      <w:rFonts w:ascii="Times New Roman" w:hAnsi="Times New Roman" w:eastAsia="宋体" w:cs="Times New Roman"/>
                      <w:kern w:val="0"/>
                      <w:sz w:val="21"/>
                      <w:szCs w:val="21"/>
                      <w:lang w:val="en-US" w:eastAsia="zh-CN" w:bidi="ar-SA"/>
                    </w:rPr>
                  </w:pPr>
                  <w:r>
                    <w:rPr>
                      <w:kern w:val="0"/>
                      <w:sz w:val="21"/>
                      <w:szCs w:val="21"/>
                    </w:rPr>
                    <w:t xml:space="preserve">收集后交物资回收单位处理    </w:t>
                  </w:r>
                </w:p>
              </w:tc>
              <w:tc>
                <w:tcPr>
                  <w:tcW w:w="2417" w:type="dxa"/>
                  <w:noWrap w:val="0"/>
                  <w:vAlign w:val="center"/>
                </w:tcPr>
                <w:p>
                  <w:pPr>
                    <w:widowControl/>
                    <w:ind w:firstLine="0" w:firstLineChars="0"/>
                    <w:jc w:val="center"/>
                    <w:rPr>
                      <w:rFonts w:ascii="Times New Roman" w:hAnsi="Times New Roman" w:eastAsia="宋体" w:cs="Times New Roman"/>
                      <w:kern w:val="0"/>
                      <w:sz w:val="21"/>
                      <w:szCs w:val="21"/>
                      <w:lang w:val="en-US" w:eastAsia="zh-CN" w:bidi="ar-SA"/>
                    </w:rPr>
                  </w:pPr>
                  <w:r>
                    <w:rPr>
                      <w:kern w:val="0"/>
                      <w:sz w:val="21"/>
                      <w:szCs w:val="21"/>
                    </w:rPr>
                    <w:t>对环境影响较小</w:t>
                  </w:r>
                </w:p>
              </w:tc>
            </w:tr>
          </w:tbl>
          <w:p>
            <w:pPr>
              <w:widowControl w:val="0"/>
              <w:rPr>
                <w:rFonts w:hint="eastAsia"/>
                <w:lang w:val="en-US" w:eastAsia="zh-CN"/>
              </w:rPr>
            </w:pPr>
          </w:p>
          <w:p>
            <w:pPr>
              <w:pStyle w:val="2"/>
              <w:widowControl w:val="0"/>
              <w:rPr>
                <w:rFonts w:hint="eastAsia"/>
                <w:lang w:val="en-US" w:eastAsia="zh-CN"/>
              </w:rPr>
            </w:pPr>
          </w:p>
          <w:p>
            <w:pPr>
              <w:widowControl w:val="0"/>
              <w:rPr>
                <w:rFonts w:hint="eastAsia"/>
                <w:lang w:val="en-US" w:eastAsia="zh-CN"/>
              </w:rPr>
            </w:pPr>
          </w:p>
          <w:p>
            <w:pPr>
              <w:pStyle w:val="7"/>
              <w:widowControl w:val="0"/>
              <w:rPr>
                <w:rFonts w:hint="eastAsia"/>
                <w:lang w:val="en-US" w:eastAsia="zh-CN"/>
              </w:rPr>
            </w:pPr>
          </w:p>
          <w:p>
            <w:pPr>
              <w:widowControl w:val="0"/>
              <w:rPr>
                <w:rFonts w:hint="eastAsia"/>
                <w:lang w:val="en-US" w:eastAsia="zh-CN"/>
              </w:rPr>
            </w:pPr>
          </w:p>
          <w:p>
            <w:pPr>
              <w:pStyle w:val="2"/>
              <w:widowControl w:val="0"/>
              <w:ind w:left="0" w:leftChars="0" w:firstLine="0" w:firstLineChars="0"/>
              <w:rPr>
                <w:rFonts w:hint="eastAsia"/>
                <w:lang w:val="en-US" w:eastAsia="zh-CN"/>
              </w:rPr>
            </w:pPr>
          </w:p>
        </w:tc>
      </w:tr>
    </w:tbl>
    <w:p>
      <w:pPr>
        <w:pStyle w:val="5"/>
        <w:spacing w:before="319" w:beforeLines="100"/>
        <w:rPr>
          <w:rFonts w:hint="eastAsia" w:ascii="宋体" w:hAnsi="宋体" w:eastAsia="宋体" w:cs="宋体"/>
          <w:color w:val="auto"/>
          <w:highlight w:val="none"/>
          <w:lang w:eastAsia="zh-CN"/>
        </w:rPr>
      </w:pPr>
      <w:bookmarkStart w:id="75" w:name="_Toc26384"/>
      <w:r>
        <w:rPr>
          <w:rFonts w:hint="eastAsia" w:ascii="宋体" w:hAnsi="宋体" w:eastAsia="宋体" w:cs="宋体"/>
          <w:color w:val="auto"/>
          <w:highlight w:val="none"/>
          <w:lang w:eastAsia="zh-CN"/>
        </w:rPr>
        <w:t>表五</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验收监测</w:t>
      </w:r>
      <w:r>
        <w:rPr>
          <w:rFonts w:hint="eastAsia" w:ascii="宋体" w:hAnsi="宋体" w:eastAsia="宋体" w:cs="宋体"/>
          <w:color w:val="auto"/>
          <w:highlight w:val="none"/>
          <w:lang w:eastAsia="zh-CN"/>
        </w:rPr>
        <w:t>内容及</w:t>
      </w:r>
      <w:bookmarkEnd w:id="71"/>
      <w:r>
        <w:rPr>
          <w:rFonts w:hint="eastAsia" w:ascii="宋体" w:hAnsi="宋体" w:eastAsia="宋体" w:cs="宋体"/>
          <w:color w:val="auto"/>
          <w:highlight w:val="none"/>
          <w:lang w:eastAsia="zh-CN"/>
        </w:rPr>
        <w:t>监测结果分析</w:t>
      </w:r>
      <w:bookmarkEnd w:id="75"/>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3" w:hRule="atLeast"/>
        </w:trPr>
        <w:tc>
          <w:tcPr>
            <w:tcW w:w="8570" w:type="dxa"/>
            <w:noWrap w:val="0"/>
            <w:vAlign w:val="top"/>
          </w:tcPr>
          <w:p>
            <w:pPr>
              <w:pStyle w:val="6"/>
              <w:widowControl w:val="0"/>
              <w:rPr>
                <w:rFonts w:hint="eastAsia"/>
                <w:lang w:eastAsia="zh-CN"/>
              </w:rPr>
            </w:pPr>
            <w:bookmarkStart w:id="76" w:name="_Toc6822"/>
            <w:bookmarkStart w:id="77" w:name="_Toc16604"/>
            <w:r>
              <w:rPr>
                <w:rFonts w:hint="eastAsia"/>
                <w:lang w:val="en-US" w:eastAsia="zh-CN"/>
              </w:rPr>
              <w:t>5</w:t>
            </w:r>
            <w:r>
              <w:rPr>
                <w:rFonts w:hint="eastAsia"/>
                <w:lang w:eastAsia="zh-CN"/>
              </w:rPr>
              <w:t>.</w:t>
            </w:r>
            <w:r>
              <w:rPr>
                <w:rFonts w:hint="eastAsia"/>
              </w:rPr>
              <w:t>1</w:t>
            </w:r>
            <w:r>
              <w:rPr>
                <w:rFonts w:hint="eastAsia"/>
                <w:lang w:val="en-US" w:eastAsia="zh-CN"/>
              </w:rPr>
              <w:t xml:space="preserve"> </w:t>
            </w:r>
            <w:r>
              <w:rPr>
                <w:rFonts w:hint="eastAsia"/>
              </w:rPr>
              <w:t>验收</w:t>
            </w:r>
            <w:r>
              <w:rPr>
                <w:rFonts w:hint="eastAsia"/>
                <w:lang w:eastAsia="zh-CN"/>
              </w:rPr>
              <w:t>监测</w:t>
            </w:r>
            <w:r>
              <w:rPr>
                <w:rFonts w:hint="eastAsia"/>
              </w:rPr>
              <w:t>期间工况</w:t>
            </w:r>
            <w:r>
              <w:rPr>
                <w:rFonts w:hint="eastAsia"/>
                <w:lang w:eastAsia="zh-CN"/>
              </w:rPr>
              <w:t>调查与分析</w:t>
            </w:r>
            <w:bookmarkEnd w:id="76"/>
          </w:p>
          <w:p>
            <w:pPr>
              <w:keepNext w:val="0"/>
              <w:keepLines w:val="0"/>
              <w:pageBreakBefore w:val="0"/>
              <w:widowControl/>
              <w:kinsoku/>
              <w:wordWrap/>
              <w:overflowPunct/>
              <w:topLinePunct w:val="0"/>
              <w:autoSpaceDE/>
              <w:autoSpaceDN/>
              <w:bidi w:val="0"/>
              <w:adjustRightInd/>
              <w:snapToGrid/>
              <w:spacing w:before="161" w:beforeLines="50" w:after="161" w:afterLines="50" w:line="360" w:lineRule="auto"/>
              <w:ind w:firstLine="560"/>
              <w:jc w:val="left"/>
              <w:textAlignment w:val="auto"/>
              <w:outlineLvl w:val="9"/>
              <w:rPr>
                <w:rFonts w:hint="eastAsia"/>
              </w:rPr>
            </w:pPr>
            <w:r>
              <w:rPr>
                <w:rFonts w:hint="eastAsia"/>
                <w:lang w:eastAsia="zh-CN"/>
              </w:rPr>
              <w:t>本</w:t>
            </w:r>
            <w:r>
              <w:rPr>
                <w:rFonts w:hint="eastAsia"/>
              </w:rPr>
              <w:t>验收监测期间，生产设备及各项环保设施运行正常。采样监测</w:t>
            </w:r>
            <w:r>
              <w:rPr>
                <w:rFonts w:hint="eastAsia"/>
                <w:lang w:eastAsia="zh-CN"/>
              </w:rPr>
              <w:t>期间</w:t>
            </w:r>
            <w:r>
              <w:rPr>
                <w:rFonts w:hint="eastAsia"/>
              </w:rPr>
              <w:t>，各工序均处于正常运转状态。</w:t>
            </w:r>
          </w:p>
          <w:p>
            <w:pPr>
              <w:pStyle w:val="6"/>
              <w:keepNext/>
              <w:keepLines/>
              <w:pageBreakBefore w:val="0"/>
              <w:widowControl/>
              <w:kinsoku/>
              <w:wordWrap/>
              <w:overflowPunct/>
              <w:topLinePunct w:val="0"/>
              <w:autoSpaceDE/>
              <w:autoSpaceDN/>
              <w:bidi w:val="0"/>
              <w:adjustRightInd/>
              <w:snapToGrid/>
              <w:spacing w:before="161" w:beforeLines="50" w:after="161" w:afterLines="50"/>
              <w:textAlignment w:val="auto"/>
              <w:outlineLvl w:val="1"/>
              <w:rPr>
                <w:rFonts w:hint="eastAsia"/>
                <w:lang w:eastAsia="zh-CN"/>
              </w:rPr>
            </w:pPr>
            <w:bookmarkStart w:id="78" w:name="_Toc8089"/>
            <w:r>
              <w:rPr>
                <w:rFonts w:hint="eastAsia"/>
                <w:lang w:val="en-US" w:eastAsia="zh-CN"/>
              </w:rPr>
              <w:t>5</w:t>
            </w:r>
            <w:r>
              <w:rPr>
                <w:rFonts w:hint="eastAsia"/>
                <w:lang w:eastAsia="zh-CN"/>
              </w:rPr>
              <w:t>.</w:t>
            </w:r>
            <w:r>
              <w:rPr>
                <w:rFonts w:hint="eastAsia"/>
              </w:rPr>
              <w:t>2</w:t>
            </w:r>
            <w:r>
              <w:rPr>
                <w:rFonts w:hint="eastAsia"/>
                <w:lang w:eastAsia="zh-CN"/>
              </w:rPr>
              <w:t>验收</w:t>
            </w:r>
            <w:r>
              <w:rPr>
                <w:rFonts w:hint="eastAsia"/>
              </w:rPr>
              <w:t>监测</w:t>
            </w:r>
            <w:r>
              <w:rPr>
                <w:rFonts w:hint="eastAsia"/>
                <w:lang w:eastAsia="zh-CN"/>
              </w:rPr>
              <w:t>内容</w:t>
            </w:r>
            <w:bookmarkEnd w:id="78"/>
          </w:p>
          <w:p>
            <w:pPr>
              <w:pStyle w:val="6"/>
              <w:widowControl w:val="0"/>
              <w:bidi w:val="0"/>
              <w:rPr>
                <w:rFonts w:hint="eastAsia"/>
                <w:lang w:eastAsia="zh-CN"/>
              </w:rPr>
            </w:pPr>
            <w:bookmarkStart w:id="79" w:name="_Toc4105"/>
            <w:bookmarkStart w:id="80" w:name="_Toc7121"/>
            <w:bookmarkStart w:id="81" w:name="_Toc8604"/>
            <w:r>
              <w:rPr>
                <w:rFonts w:hint="eastAsia"/>
                <w:lang w:val="en-US" w:eastAsia="zh-CN"/>
              </w:rPr>
              <w:t>5</w:t>
            </w:r>
            <w:r>
              <w:rPr>
                <w:rFonts w:hint="eastAsia"/>
                <w:lang w:eastAsia="zh-CN"/>
              </w:rPr>
              <w:t>.</w:t>
            </w:r>
            <w:r>
              <w:rPr>
                <w:rFonts w:hint="eastAsia"/>
                <w:lang w:val="en-US" w:eastAsia="zh-CN"/>
              </w:rPr>
              <w:t>2.1</w:t>
            </w:r>
            <w:r>
              <w:rPr>
                <w:rFonts w:hint="eastAsia"/>
                <w:lang w:eastAsia="zh-CN"/>
              </w:rPr>
              <w:t>废气监测内容</w:t>
            </w:r>
            <w:bookmarkEnd w:id="79"/>
            <w:bookmarkEnd w:id="80"/>
            <w:bookmarkEnd w:id="81"/>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eastAsia="zh-CN"/>
              </w:rPr>
              <w:t>本项目</w:t>
            </w:r>
            <w:r>
              <w:rPr>
                <w:rFonts w:hint="eastAsia"/>
                <w:lang w:val="en-US" w:eastAsia="zh-CN"/>
              </w:rPr>
              <w:t>有组织</w:t>
            </w:r>
            <w:r>
              <w:rPr>
                <w:rFonts w:hint="eastAsia"/>
                <w:lang w:eastAsia="zh-CN"/>
              </w:rPr>
              <w:t>废气主要为</w:t>
            </w:r>
            <w:r>
              <w:rPr>
                <w:rFonts w:hint="eastAsia"/>
                <w:lang w:val="en-US" w:eastAsia="zh-CN"/>
              </w:rPr>
              <w:t>营运期废气</w:t>
            </w:r>
            <w:r>
              <w:rPr>
                <w:rFonts w:hint="eastAsia"/>
              </w:rPr>
              <w:t>主要污染物为</w:t>
            </w:r>
            <w:r>
              <w:rPr>
                <w:rFonts w:hint="eastAsia"/>
                <w:lang w:val="en-US" w:eastAsia="zh-CN"/>
              </w:rPr>
              <w:t>抛丸粉尘、喷漆废气、和饮食业油烟。</w:t>
            </w:r>
            <w:r>
              <w:rPr>
                <w:rFonts w:hint="eastAsia"/>
                <w:lang w:eastAsia="zh-CN"/>
              </w:rPr>
              <w:t>其监测因子与监测频次详见表</w:t>
            </w:r>
            <w:r>
              <w:rPr>
                <w:rFonts w:hint="eastAsia"/>
                <w:lang w:val="en-US" w:eastAsia="zh-CN"/>
              </w:rPr>
              <w:t>5-1。</w:t>
            </w:r>
          </w:p>
          <w:p>
            <w:pPr>
              <w:widowControl w:val="0"/>
              <w:jc w:val="center"/>
              <w:rPr>
                <w:rFonts w:hint="default"/>
                <w:lang w:val="en-US" w:eastAsia="zh-CN"/>
              </w:rPr>
            </w:pPr>
            <w:bookmarkStart w:id="82" w:name="_Toc2264"/>
            <w:r>
              <w:rPr>
                <w:rFonts w:hint="default"/>
                <w:lang w:val="en-US" w:eastAsia="zh-CN"/>
              </w:rPr>
              <w:t>表5-1  废气监测因子及监测频次一览表</w:t>
            </w:r>
            <w:bookmarkEnd w:id="82"/>
          </w:p>
          <w:tbl>
            <w:tblPr>
              <w:tblStyle w:val="23"/>
              <w:tblW w:w="0" w:type="auto"/>
              <w:tblInd w:w="-8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987"/>
              <w:gridCol w:w="1477"/>
              <w:gridCol w:w="1656"/>
              <w:gridCol w:w="1100"/>
              <w:gridCol w:w="1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类别</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监测点位</w:t>
                  </w:r>
                </w:p>
              </w:tc>
              <w:tc>
                <w:tcPr>
                  <w:tcW w:w="14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监测因子</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监测频次</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（次</w:t>
                  </w:r>
                  <w:r>
                    <w:rPr>
                      <w:rFonts w:hint="default"/>
                      <w:lang w:val="en-US" w:eastAsia="zh-CN"/>
                    </w:rPr>
                    <w:t>/天</w:t>
                  </w:r>
                  <w:r>
                    <w:rPr>
                      <w:rFonts w:hint="default"/>
                      <w:lang w:eastAsia="zh-CN"/>
                    </w:rPr>
                    <w:t>）</w:t>
                  </w:r>
                </w:p>
              </w:tc>
              <w:tc>
                <w:tcPr>
                  <w:tcW w:w="11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监测点数（个）</w:t>
                  </w:r>
                </w:p>
              </w:tc>
              <w:tc>
                <w:tcPr>
                  <w:tcW w:w="12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bookmarkStart w:id="83" w:name="_Toc6711"/>
                  <w:bookmarkStart w:id="84" w:name="_Toc27615"/>
                  <w:r>
                    <w:rPr>
                      <w:rFonts w:hint="eastAsia"/>
                      <w:lang w:val="en-US" w:eastAsia="zh-CN"/>
                    </w:rPr>
                    <w:t>无组织废气</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厂界</w:t>
                  </w:r>
                </w:p>
              </w:tc>
              <w:tc>
                <w:tcPr>
                  <w:tcW w:w="1477" w:type="dxa"/>
                  <w:tcBorders>
                    <w:tl2br w:val="nil"/>
                    <w:tr2bl w:val="nil"/>
                  </w:tcBorders>
                  <w:noWrap w:val="0"/>
                  <w:vAlign w:val="center"/>
                </w:tcPr>
                <w:p>
                  <w:pPr>
                    <w:ind w:firstLine="0" w:firstLineChars="0"/>
                    <w:jc w:val="center"/>
                    <w:rPr>
                      <w:rFonts w:hint="default"/>
                      <w:lang w:val="en-US" w:eastAsia="zh-CN"/>
                    </w:rPr>
                  </w:pPr>
                  <w:r>
                    <w:rPr>
                      <w:rFonts w:hint="eastAsia"/>
                      <w:lang w:val="en-US" w:eastAsia="zh-CN"/>
                    </w:rPr>
                    <w:t>颗粒物</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eastAsia="zh-CN"/>
                    </w:rPr>
                  </w:pPr>
                  <w:r>
                    <w:rPr>
                      <w:rFonts w:hint="default"/>
                      <w:lang w:val="en-US" w:eastAsia="zh-CN"/>
                    </w:rPr>
                    <w:t>3</w:t>
                  </w:r>
                  <w:r>
                    <w:rPr>
                      <w:rFonts w:hint="default"/>
                    </w:rPr>
                    <w:t>次</w:t>
                  </w:r>
                  <w:r>
                    <w:rPr>
                      <w:rFonts w:hint="default"/>
                      <w:lang w:val="en-US" w:eastAsia="zh-CN"/>
                    </w:rPr>
                    <w:t>/天</w:t>
                  </w:r>
                  <w:r>
                    <w:rPr>
                      <w:rFonts w:hint="default"/>
                      <w:lang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rPr>
                  </w:pPr>
                  <w:r>
                    <w:rPr>
                      <w:rFonts w:hint="default"/>
                    </w:rPr>
                    <w:t>监测</w:t>
                  </w:r>
                  <w:r>
                    <w:rPr>
                      <w:rFonts w:hint="default"/>
                      <w:lang w:val="en-US" w:eastAsia="zh-CN"/>
                    </w:rPr>
                    <w:t>2</w:t>
                  </w:r>
                  <w:r>
                    <w:rPr>
                      <w:rFonts w:hint="default"/>
                    </w:rPr>
                    <w:t>天</w:t>
                  </w:r>
                </w:p>
              </w:tc>
              <w:tc>
                <w:tcPr>
                  <w:tcW w:w="11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4</w:t>
                  </w:r>
                </w:p>
              </w:tc>
              <w:tc>
                <w:tcPr>
                  <w:tcW w:w="12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噪声</w:t>
                  </w:r>
                </w:p>
              </w:tc>
              <w:tc>
                <w:tcPr>
                  <w:tcW w:w="19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厂界</w:t>
                  </w:r>
                </w:p>
              </w:tc>
              <w:tc>
                <w:tcPr>
                  <w:tcW w:w="1477" w:type="dxa"/>
                  <w:tcBorders>
                    <w:tl2br w:val="nil"/>
                    <w:tr2bl w:val="nil"/>
                  </w:tcBorders>
                  <w:noWrap w:val="0"/>
                  <w:vAlign w:val="center"/>
                </w:tcPr>
                <w:p>
                  <w:pPr>
                    <w:ind w:firstLine="0" w:firstLineChars="0"/>
                    <w:jc w:val="center"/>
                    <w:rPr>
                      <w:rFonts w:hint="default"/>
                      <w:lang w:val="en-US" w:eastAsia="zh-CN"/>
                    </w:rPr>
                  </w:pPr>
                  <w:r>
                    <w:rPr>
                      <w:rFonts w:hint="eastAsia"/>
                      <w:lang w:val="en-US" w:eastAsia="zh-CN"/>
                    </w:rPr>
                    <w:t>噪声</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昼夜各1次，监测2天</w:t>
                  </w:r>
                </w:p>
              </w:tc>
              <w:tc>
                <w:tcPr>
                  <w:tcW w:w="11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4</w:t>
                  </w:r>
                </w:p>
              </w:tc>
              <w:tc>
                <w:tcPr>
                  <w:tcW w:w="12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16</w:t>
                  </w:r>
                </w:p>
              </w:tc>
            </w:tr>
          </w:tbl>
          <w:p>
            <w:pPr>
              <w:pStyle w:val="6"/>
              <w:keepNext/>
              <w:keepLines/>
              <w:pageBreakBefore w:val="0"/>
              <w:widowControl/>
              <w:kinsoku/>
              <w:wordWrap/>
              <w:overflowPunct/>
              <w:topLinePunct w:val="0"/>
              <w:autoSpaceDE/>
              <w:autoSpaceDN/>
              <w:bidi w:val="0"/>
              <w:adjustRightInd/>
              <w:snapToGrid/>
              <w:spacing w:before="161" w:beforeLines="50" w:after="161" w:afterLines="50"/>
              <w:ind w:left="0" w:leftChars="0" w:firstLine="0" w:firstLineChars="0"/>
              <w:textAlignment w:val="auto"/>
              <w:outlineLvl w:val="1"/>
              <w:rPr>
                <w:rFonts w:hint="eastAsia"/>
                <w:lang w:eastAsia="zh-CN"/>
              </w:rPr>
            </w:pPr>
            <w:bookmarkStart w:id="85" w:name="_Toc1891"/>
            <w:r>
              <w:rPr>
                <w:rFonts w:hint="eastAsia"/>
                <w:lang w:val="en-US" w:eastAsia="zh-CN"/>
              </w:rPr>
              <w:t>5.2.2</w:t>
            </w:r>
            <w:r>
              <w:rPr>
                <w:rFonts w:hint="eastAsia"/>
              </w:rPr>
              <w:t>噪声监测</w:t>
            </w:r>
            <w:r>
              <w:rPr>
                <w:rFonts w:hint="eastAsia"/>
                <w:lang w:eastAsia="zh-CN"/>
              </w:rPr>
              <w:t>内容</w:t>
            </w:r>
            <w:bookmarkEnd w:id="83"/>
            <w:bookmarkEnd w:id="84"/>
            <w:bookmarkEnd w:id="85"/>
          </w:p>
          <w:p>
            <w:pPr>
              <w:keepNext w:val="0"/>
              <w:keepLines w:val="0"/>
              <w:pageBreakBefore w:val="0"/>
              <w:widowControl/>
              <w:kinsoku/>
              <w:wordWrap/>
              <w:overflowPunct/>
              <w:topLinePunct w:val="0"/>
              <w:autoSpaceDE/>
              <w:autoSpaceDN/>
              <w:bidi w:val="0"/>
              <w:adjustRightInd/>
              <w:snapToGrid/>
              <w:spacing w:after="161" w:afterLines="50"/>
              <w:ind w:firstLine="480" w:firstLineChars="200"/>
              <w:textAlignment w:val="auto"/>
              <w:outlineLvl w:val="9"/>
              <w:rPr>
                <w:rFonts w:hint="eastAsia"/>
              </w:rPr>
            </w:pPr>
            <w:r>
              <w:rPr>
                <w:rFonts w:hint="eastAsia"/>
              </w:rPr>
              <w:t>根据</w:t>
            </w:r>
            <w:r>
              <w:rPr>
                <w:rFonts w:hint="eastAsia"/>
                <w:lang w:eastAsia="zh-CN"/>
              </w:rPr>
              <w:t>项目区四周噪声排放</w:t>
            </w:r>
            <w:r>
              <w:rPr>
                <w:rFonts w:hint="eastAsia"/>
              </w:rPr>
              <w:t>环境</w:t>
            </w:r>
            <w:r>
              <w:rPr>
                <w:rFonts w:hint="eastAsia"/>
                <w:lang w:eastAsia="zh-CN"/>
              </w:rPr>
              <w:t>，</w:t>
            </w:r>
            <w:r>
              <w:rPr>
                <w:rFonts w:hint="eastAsia"/>
              </w:rPr>
              <w:t>噪声监测内容见表</w:t>
            </w:r>
            <w:r>
              <w:rPr>
                <w:rFonts w:hint="eastAsia"/>
                <w:lang w:val="en-US" w:eastAsia="zh-CN"/>
              </w:rPr>
              <w:t>5</w:t>
            </w:r>
            <w:r>
              <w:rPr>
                <w:rFonts w:hint="eastAsia"/>
              </w:rPr>
              <w:t>-</w:t>
            </w:r>
            <w:r>
              <w:rPr>
                <w:rFonts w:hint="eastAsia"/>
                <w:lang w:val="en-US" w:eastAsia="zh-CN"/>
              </w:rPr>
              <w:t>2。</w:t>
            </w:r>
          </w:p>
          <w:p>
            <w:pPr>
              <w:widowControl w:val="0"/>
              <w:jc w:val="center"/>
              <w:rPr>
                <w:rFonts w:hint="eastAsia"/>
              </w:rPr>
            </w:pPr>
            <w:r>
              <w:rPr>
                <w:rFonts w:hint="eastAsia"/>
              </w:rPr>
              <w:t>表</w:t>
            </w:r>
            <w:r>
              <w:rPr>
                <w:rFonts w:hint="eastAsia"/>
                <w:lang w:val="en-US" w:eastAsia="zh-CN"/>
              </w:rPr>
              <w:t>5</w:t>
            </w:r>
            <w:r>
              <w:rPr>
                <w:rFonts w:hint="eastAsia"/>
              </w:rPr>
              <w:t>-</w:t>
            </w:r>
            <w:r>
              <w:rPr>
                <w:rFonts w:hint="eastAsia"/>
                <w:lang w:val="en-US" w:eastAsia="zh-CN"/>
              </w:rPr>
              <w:t xml:space="preserve">2  </w:t>
            </w:r>
            <w:r>
              <w:rPr>
                <w:rFonts w:hint="eastAsia"/>
                <w:lang w:eastAsia="zh-CN"/>
              </w:rPr>
              <w:t>厂界环境噪声</w:t>
            </w:r>
            <w:r>
              <w:rPr>
                <w:rFonts w:hint="eastAsia"/>
              </w:rPr>
              <w:t>监测内容一览表</w:t>
            </w:r>
          </w:p>
          <w:tbl>
            <w:tblPr>
              <w:tblStyle w:val="23"/>
              <w:tblW w:w="0" w:type="auto"/>
              <w:tblInd w:w="154"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864"/>
              <w:gridCol w:w="1189"/>
              <w:gridCol w:w="1595"/>
              <w:gridCol w:w="1685"/>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67" w:hRule="atLeast"/>
              </w:trPr>
              <w:tc>
                <w:tcPr>
                  <w:tcW w:w="1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rPr>
                    <w:t>污染源</w:t>
                  </w:r>
                  <w:r>
                    <w:rPr>
                      <w:rFonts w:hint="eastAsia"/>
                      <w:lang w:eastAsia="zh-CN"/>
                    </w:rPr>
                    <w:t>名称</w:t>
                  </w: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rPr>
                  </w:pPr>
                  <w:r>
                    <w:rPr>
                      <w:rFonts w:hint="eastAsia"/>
                    </w:rPr>
                    <w:t>监测点位</w:t>
                  </w:r>
                </w:p>
              </w:tc>
              <w:tc>
                <w:tcPr>
                  <w:tcW w:w="15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rPr>
                  </w:pPr>
                  <w:r>
                    <w:rPr>
                      <w:rFonts w:hint="eastAsia"/>
                    </w:rPr>
                    <w:t>监测频次</w:t>
                  </w:r>
                </w:p>
              </w:tc>
              <w:tc>
                <w:tcPr>
                  <w:tcW w:w="16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lang w:eastAsia="zh-CN"/>
                    </w:rPr>
                    <w:t>监测点位（个）</w:t>
                  </w:r>
                </w:p>
              </w:tc>
              <w:tc>
                <w:tcPr>
                  <w:tcW w:w="1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567" w:hRule="atLeast"/>
              </w:trPr>
              <w:tc>
                <w:tcPr>
                  <w:tcW w:w="186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lang w:eastAsia="zh-CN"/>
                    </w:rPr>
                    <w:t>厂界环境噪声</w:t>
                  </w:r>
                </w:p>
              </w:tc>
              <w:tc>
                <w:tcPr>
                  <w:tcW w:w="118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eastAsia="zh-CN"/>
                    </w:rPr>
                  </w:pPr>
                  <w:r>
                    <w:rPr>
                      <w:rFonts w:hint="eastAsia"/>
                      <w:lang w:eastAsia="zh-CN"/>
                    </w:rPr>
                    <w:t>厂界四周</w:t>
                  </w:r>
                </w:p>
              </w:tc>
              <w:tc>
                <w:tcPr>
                  <w:tcW w:w="15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val="en-US" w:eastAsia="zh-CN"/>
                    </w:rPr>
                  </w:pPr>
                  <w:r>
                    <w:rPr>
                      <w:rFonts w:hint="eastAsia"/>
                      <w:lang w:val="en-US" w:eastAsia="zh-CN"/>
                    </w:rPr>
                    <w:t>昼夜各</w:t>
                  </w:r>
                  <w:r>
                    <w:rPr>
                      <w:rFonts w:hint="eastAsia"/>
                    </w:rPr>
                    <w:t>1次</w:t>
                  </w:r>
                  <w:r>
                    <w:rPr>
                      <w:rFonts w:hint="eastAsia"/>
                      <w:lang w:eastAsia="zh-CN"/>
                    </w:rPr>
                    <w:t>，监测</w:t>
                  </w:r>
                  <w:r>
                    <w:rPr>
                      <w:rFonts w:hint="eastAsia"/>
                      <w:lang w:val="en-US" w:eastAsia="zh-CN"/>
                    </w:rPr>
                    <w:t>2天</w:t>
                  </w:r>
                </w:p>
              </w:tc>
              <w:tc>
                <w:tcPr>
                  <w:tcW w:w="168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val="en-US" w:eastAsia="zh-CN"/>
                    </w:rPr>
                  </w:pPr>
                  <w:r>
                    <w:rPr>
                      <w:rFonts w:hint="eastAsia"/>
                      <w:lang w:val="en-US" w:eastAsia="zh-CN"/>
                    </w:rPr>
                    <w:t>4</w:t>
                  </w:r>
                </w:p>
              </w:tc>
              <w:tc>
                <w:tcPr>
                  <w:tcW w:w="164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lang w:val="en-US" w:eastAsia="zh-CN"/>
                    </w:rPr>
                  </w:pPr>
                  <w:r>
                    <w:rPr>
                      <w:rFonts w:hint="eastAsia"/>
                      <w:lang w:val="en-US" w:eastAsia="zh-CN"/>
                    </w:rPr>
                    <w:t>16</w:t>
                  </w:r>
                </w:p>
              </w:tc>
            </w:tr>
          </w:tbl>
          <w:p>
            <w:pPr>
              <w:keepNext w:val="0"/>
              <w:keepLines w:val="0"/>
              <w:pageBreakBefore w:val="0"/>
              <w:widowControl/>
              <w:kinsoku/>
              <w:wordWrap/>
              <w:overflowPunct/>
              <w:topLinePunct w:val="0"/>
              <w:autoSpaceDE/>
              <w:autoSpaceDN/>
              <w:bidi w:val="0"/>
              <w:adjustRightInd/>
              <w:snapToGrid/>
              <w:spacing w:before="161" w:beforeLines="50" w:after="161" w:afterLines="50"/>
              <w:ind w:left="0" w:leftChars="0" w:firstLine="480" w:firstLineChars="200"/>
              <w:textAlignment w:val="auto"/>
              <w:outlineLvl w:val="9"/>
              <w:rPr>
                <w:rFonts w:hint="eastAsia"/>
                <w:lang w:val="en-US" w:eastAsia="zh-CN"/>
              </w:rPr>
            </w:pPr>
            <w:r>
              <w:rPr>
                <w:rFonts w:hint="eastAsia"/>
                <w:lang w:val="en-US" w:eastAsia="zh-CN"/>
              </w:rPr>
              <w:t>本项目监测点位如附图3所示。</w:t>
            </w:r>
          </w:p>
          <w:p>
            <w:pPr>
              <w:pStyle w:val="2"/>
              <w:keepNext w:val="0"/>
              <w:keepLines w:val="0"/>
              <w:pageBreakBefore w:val="0"/>
              <w:widowControl/>
              <w:kinsoku/>
              <w:wordWrap/>
              <w:overflowPunct/>
              <w:topLinePunct w:val="0"/>
              <w:autoSpaceDE/>
              <w:autoSpaceDN/>
              <w:bidi w:val="0"/>
              <w:adjustRightInd/>
              <w:snapToGrid/>
              <w:ind w:firstLine="0" w:firstLineChars="0"/>
              <w:textAlignment w:val="auto"/>
            </w:pPr>
          </w:p>
          <w:p>
            <w:pPr>
              <w:widowControl w:val="0"/>
              <w:jc w:val="center"/>
              <w:rPr>
                <w:rFonts w:hint="default"/>
                <w:lang w:val="en-US" w:eastAsia="zh-CN"/>
              </w:rPr>
            </w:pPr>
            <w:r>
              <w:rPr>
                <w:rFonts w:hint="eastAsia"/>
                <w:lang w:val="en-US" w:eastAsia="zh-CN"/>
              </w:rPr>
              <w:t>附图3    监测点位图</w:t>
            </w:r>
          </w:p>
          <w:p>
            <w:pPr>
              <w:pStyle w:val="6"/>
              <w:keepNext/>
              <w:keepLines/>
              <w:pageBreakBefore w:val="0"/>
              <w:widowControl/>
              <w:kinsoku/>
              <w:wordWrap/>
              <w:overflowPunct/>
              <w:topLinePunct w:val="0"/>
              <w:autoSpaceDE/>
              <w:autoSpaceDN/>
              <w:bidi w:val="0"/>
              <w:adjustRightInd/>
              <w:snapToGrid/>
              <w:spacing w:after="161" w:afterLines="50"/>
              <w:textAlignment w:val="auto"/>
              <w:outlineLvl w:val="1"/>
              <w:rPr>
                <w:rFonts w:hint="eastAsia"/>
                <w:lang w:val="en-US" w:eastAsia="zh-CN"/>
              </w:rPr>
            </w:pPr>
            <w:bookmarkStart w:id="86" w:name="_Toc24493"/>
            <w:r>
              <w:rPr>
                <w:rFonts w:hint="eastAsia"/>
                <w:lang w:val="en-US" w:eastAsia="zh-CN"/>
              </w:rPr>
              <w:t>5.3 验收监测分析方法</w:t>
            </w:r>
            <w:bookmarkEnd w:id="86"/>
          </w:p>
          <w:p>
            <w:pPr>
              <w:keepNext w:val="0"/>
              <w:keepLines w:val="0"/>
              <w:pageBreakBefore w:val="0"/>
              <w:widowControl/>
              <w:kinsoku/>
              <w:wordWrap/>
              <w:overflowPunct/>
              <w:topLinePunct w:val="0"/>
              <w:autoSpaceDE/>
              <w:autoSpaceDN/>
              <w:bidi w:val="0"/>
              <w:adjustRightInd/>
              <w:snapToGrid/>
              <w:spacing w:before="161" w:beforeLines="50" w:after="161" w:afterLines="50"/>
              <w:ind w:firstLine="600"/>
              <w:textAlignment w:val="auto"/>
              <w:outlineLvl w:val="9"/>
              <w:rPr>
                <w:rFonts w:hint="eastAsia"/>
              </w:rPr>
            </w:pPr>
            <w:r>
              <w:rPr>
                <w:rFonts w:hint="eastAsia"/>
              </w:rPr>
              <w:t>本次验收监测分析方法见表</w:t>
            </w:r>
            <w:r>
              <w:rPr>
                <w:rFonts w:hint="eastAsia"/>
                <w:lang w:val="en-US" w:eastAsia="zh-CN"/>
              </w:rPr>
              <w:t>5</w:t>
            </w:r>
            <w:r>
              <w:rPr>
                <w:rFonts w:hint="eastAsia"/>
              </w:rPr>
              <w:t>-</w:t>
            </w:r>
            <w:r>
              <w:rPr>
                <w:rFonts w:hint="eastAsia"/>
                <w:lang w:val="en-US" w:eastAsia="zh-CN"/>
              </w:rPr>
              <w:t>3</w:t>
            </w:r>
            <w:r>
              <w:rPr>
                <w:rFonts w:hint="eastAsia"/>
              </w:rPr>
              <w:t>。</w:t>
            </w:r>
          </w:p>
          <w:p>
            <w:pPr>
              <w:widowControl w:val="0"/>
              <w:spacing w:line="400" w:lineRule="exact"/>
              <w:jc w:val="center"/>
              <w:rPr>
                <w:rFonts w:hint="default"/>
              </w:rPr>
            </w:pPr>
            <w:r>
              <w:rPr>
                <w:rFonts w:hint="default"/>
              </w:rPr>
              <w:t>表</w:t>
            </w:r>
            <w:r>
              <w:rPr>
                <w:rFonts w:hint="default"/>
                <w:lang w:val="en-US" w:eastAsia="zh-CN"/>
              </w:rPr>
              <w:t>5</w:t>
            </w:r>
            <w:r>
              <w:rPr>
                <w:rFonts w:hint="default"/>
              </w:rPr>
              <w:t>-</w:t>
            </w:r>
            <w:r>
              <w:rPr>
                <w:rFonts w:hint="default"/>
                <w:lang w:val="en-US" w:eastAsia="zh-CN"/>
              </w:rPr>
              <w:t>3</w:t>
            </w:r>
            <w:r>
              <w:rPr>
                <w:rFonts w:hint="default"/>
              </w:rPr>
              <w:t xml:space="preserve"> </w:t>
            </w:r>
            <w:r>
              <w:rPr>
                <w:rFonts w:hint="default"/>
                <w:lang w:val="en-US" w:eastAsia="zh-CN"/>
              </w:rPr>
              <w:t xml:space="preserve"> </w:t>
            </w:r>
            <w:r>
              <w:rPr>
                <w:rFonts w:hint="default"/>
              </w:rPr>
              <w:t>污染物监测分析方法</w:t>
            </w:r>
            <w:r>
              <w:rPr>
                <w:rFonts w:hint="default"/>
                <w:lang w:eastAsia="zh-CN"/>
              </w:rPr>
              <w:t>及检出限值</w:t>
            </w:r>
            <w:r>
              <w:rPr>
                <w:rFonts w:hint="default"/>
              </w:rPr>
              <w:t>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25"/>
              <w:gridCol w:w="3112"/>
              <w:gridCol w:w="2007"/>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0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eastAsia="zh-CN"/>
                    </w:rPr>
                  </w:pPr>
                  <w:r>
                    <w:rPr>
                      <w:rFonts w:hint="default"/>
                      <w:lang w:eastAsia="zh-CN"/>
                    </w:rPr>
                    <w:t>类别</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rPr>
                  </w:pPr>
                  <w:r>
                    <w:rPr>
                      <w:rFonts w:hint="default"/>
                    </w:rPr>
                    <w:t>监测</w:t>
                  </w:r>
                  <w:r>
                    <w:rPr>
                      <w:rFonts w:hint="default"/>
                      <w:lang w:eastAsia="zh-CN"/>
                    </w:rPr>
                    <w:t>因子</w:t>
                  </w:r>
                </w:p>
              </w:tc>
              <w:tc>
                <w:tcPr>
                  <w:tcW w:w="31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rPr>
                  </w:pPr>
                  <w:r>
                    <w:rPr>
                      <w:rFonts w:hint="default"/>
                    </w:rPr>
                    <w:t>分析方法</w:t>
                  </w:r>
                </w:p>
              </w:tc>
              <w:tc>
                <w:tcPr>
                  <w:tcW w:w="200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rPr>
                  </w:pPr>
                  <w:r>
                    <w:rPr>
                      <w:rFonts w:hint="default"/>
                    </w:rPr>
                    <w:t>分析方法标准（号</w:t>
                  </w:r>
                  <w:r>
                    <w:rPr>
                      <w:rFonts w:hint="default"/>
                      <w:lang w:eastAsia="zh-CN"/>
                    </w:rPr>
                    <w:t>）</w:t>
                  </w:r>
                  <w:r>
                    <w:rPr>
                      <w:rFonts w:hint="default"/>
                    </w:rPr>
                    <w:t>或来源</w:t>
                  </w:r>
                </w:p>
              </w:tc>
              <w:tc>
                <w:tcPr>
                  <w:tcW w:w="11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eastAsia="zh-CN"/>
                    </w:rPr>
                  </w:pPr>
                  <w:r>
                    <w:rPr>
                      <w:rFonts w:hint="default"/>
                      <w:lang w:eastAsia="zh-CN"/>
                    </w:rPr>
                    <w:t>最低检出限值（</w:t>
                  </w:r>
                  <w:r>
                    <w:rPr>
                      <w:rFonts w:hint="default"/>
                      <w:lang w:val="en-US" w:eastAsia="zh-CN"/>
                    </w:rPr>
                    <w:t>mg/</w:t>
                  </w:r>
                  <w:r>
                    <w:rPr>
                      <w:rFonts w:hint="default"/>
                    </w:rPr>
                    <w:t>m3</w:t>
                  </w:r>
                  <w:r>
                    <w:rPr>
                      <w:rFonts w:hint="defaul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80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有</w:t>
                  </w:r>
                  <w:r>
                    <w:rPr>
                      <w:rFonts w:hint="default"/>
                      <w:lang w:val="en-US" w:eastAsia="zh-CN"/>
                    </w:rPr>
                    <w:t>组织废气</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颗粒物</w:t>
                  </w:r>
                </w:p>
              </w:tc>
              <w:tc>
                <w:tcPr>
                  <w:tcW w:w="3112"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eastAsia"/>
                    </w:rPr>
                  </w:pPr>
                  <w:r>
                    <w:rPr>
                      <w:rFonts w:hint="eastAsia"/>
                    </w:rPr>
                    <w:t>固定污染源排气中颗粒物测定与气态污染源采样方法</w:t>
                  </w:r>
                </w:p>
                <w:p>
                  <w:pPr>
                    <w:pStyle w:val="2"/>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default"/>
                      <w:lang w:val="en-US" w:eastAsia="zh-CN"/>
                    </w:rPr>
                    <w:t>固定污染源废气 低浓度颗粒物的测定 重量法</w:t>
                  </w:r>
                </w:p>
              </w:tc>
              <w:tc>
                <w:tcPr>
                  <w:tcW w:w="2007" w:type="dxa"/>
                  <w:noWrap w:val="0"/>
                  <w:vAlign w:val="center"/>
                </w:tcPr>
                <w:p>
                  <w:pPr>
                    <w:bidi w:val="0"/>
                    <w:rPr>
                      <w:rFonts w:hint="eastAsia"/>
                    </w:rPr>
                  </w:pPr>
                  <w:r>
                    <w:rPr>
                      <w:rFonts w:hint="eastAsia"/>
                    </w:rPr>
                    <w:t>GB/T</w:t>
                  </w:r>
                  <w:r>
                    <w:rPr>
                      <w:rFonts w:hint="eastAsia"/>
                      <w:lang w:val="en-US" w:eastAsia="zh-CN"/>
                    </w:rPr>
                    <w:t xml:space="preserve"> </w:t>
                  </w:r>
                  <w:r>
                    <w:rPr>
                      <w:rFonts w:hint="eastAsia"/>
                    </w:rPr>
                    <w:t>16157-1996</w:t>
                  </w:r>
                </w:p>
                <w:p>
                  <w:pPr>
                    <w:bidi w:val="0"/>
                    <w:rPr>
                      <w:rFonts w:hint="default"/>
                      <w:lang w:val="en-US" w:eastAsia="zh-CN"/>
                    </w:rPr>
                  </w:pPr>
                  <w:r>
                    <w:rPr>
                      <w:rFonts w:hint="eastAsia"/>
                      <w:lang w:val="en-US" w:eastAsia="zh-CN"/>
                    </w:rPr>
                    <w:t>HJ   836-2017</w:t>
                  </w:r>
                </w:p>
              </w:tc>
              <w:tc>
                <w:tcPr>
                  <w:tcW w:w="11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80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lang w:val="en-US" w:eastAsia="zh-CN"/>
                    </w:rPr>
                  </w:pP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lang w:val="en-US" w:eastAsia="zh-CN"/>
                    </w:rPr>
                    <w:t>油烟</w:t>
                  </w:r>
                </w:p>
              </w:tc>
              <w:tc>
                <w:tcPr>
                  <w:tcW w:w="31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rPr>
                    <w:t>饮食业油烟排放标准(试行)</w:t>
                  </w:r>
                </w:p>
              </w:tc>
              <w:tc>
                <w:tcPr>
                  <w:tcW w:w="200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rPr>
                    <w:t>GB 18483-2001</w:t>
                  </w:r>
                </w:p>
              </w:tc>
              <w:tc>
                <w:tcPr>
                  <w:tcW w:w="11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defaul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0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t>噪声</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rPr>
                  </w:pPr>
                  <w:r>
                    <w:rPr>
                      <w:rFonts w:hint="default"/>
                      <w:lang w:eastAsia="zh-CN"/>
                    </w:rPr>
                    <w:t>厂界</w:t>
                  </w:r>
                  <w:r>
                    <w:rPr>
                      <w:rFonts w:hint="default"/>
                    </w:rPr>
                    <w:t>噪声</w:t>
                  </w:r>
                </w:p>
              </w:tc>
              <w:tc>
                <w:tcPr>
                  <w:tcW w:w="31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t>工业企业厂界噪声排放标准</w:t>
                  </w:r>
                </w:p>
              </w:tc>
              <w:tc>
                <w:tcPr>
                  <w:tcW w:w="200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t>GB12348-2008</w:t>
                  </w:r>
                </w:p>
              </w:tc>
              <w:tc>
                <w:tcPr>
                  <w:tcW w:w="114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lang w:val="en-US" w:eastAsia="zh-CN"/>
                    </w:rPr>
                    <w:t>-</w:t>
                  </w:r>
                </w:p>
              </w:tc>
            </w:tr>
          </w:tbl>
          <w:p>
            <w:pPr>
              <w:pStyle w:val="6"/>
              <w:keepNext/>
              <w:keepLines/>
              <w:pageBreakBefore w:val="0"/>
              <w:widowControl/>
              <w:kinsoku/>
              <w:wordWrap/>
              <w:overflowPunct/>
              <w:topLinePunct w:val="0"/>
              <w:autoSpaceDE/>
              <w:autoSpaceDN/>
              <w:bidi w:val="0"/>
              <w:adjustRightInd/>
              <w:snapToGrid/>
              <w:spacing w:before="320" w:beforeLines="100" w:after="161" w:afterLines="50"/>
              <w:textAlignment w:val="auto"/>
              <w:outlineLvl w:val="1"/>
              <w:rPr>
                <w:rFonts w:hint="eastAsia"/>
              </w:rPr>
            </w:pPr>
            <w:bookmarkStart w:id="87" w:name="_Toc4802"/>
            <w:r>
              <w:rPr>
                <w:rFonts w:hint="eastAsia"/>
                <w:lang w:val="en-US" w:eastAsia="zh-CN"/>
              </w:rPr>
              <w:t xml:space="preserve">5.4 </w:t>
            </w:r>
            <w:r>
              <w:rPr>
                <w:rFonts w:hint="eastAsia"/>
              </w:rPr>
              <w:t>质量控制和质量保证</w:t>
            </w:r>
            <w:bookmarkEnd w:id="87"/>
          </w:p>
          <w:p>
            <w:pPr>
              <w:widowControl w:val="0"/>
              <w:ind w:firstLine="480"/>
              <w:rPr>
                <w:rFonts w:hint="default"/>
              </w:rPr>
            </w:pPr>
            <w:r>
              <w:rPr>
                <w:rFonts w:hint="default"/>
                <w:lang w:eastAsia="zh-CN"/>
              </w:rPr>
              <w:t>新疆中测测试有限责任公司</w:t>
            </w:r>
            <w:r>
              <w:rPr>
                <w:rFonts w:hint="default"/>
              </w:rPr>
              <w:t>通过了新疆维吾尔自治区质量技术监督局计量认证（证书编号：</w:t>
            </w:r>
            <w:r>
              <w:rPr>
                <w:rFonts w:hint="default"/>
                <w:lang w:val="en-US" w:eastAsia="zh-CN"/>
              </w:rPr>
              <w:t>213108110002</w:t>
            </w:r>
            <w:r>
              <w:rPr>
                <w:rFonts w:hint="default"/>
              </w:rPr>
              <w:t>），具备国家有关法律、行政法规规定的基本条件和能力，在监测过程中，对样品采集、运输、保存和检测的全过程严格按照生态 环境部相关技术规范和标准分析方法的要求进行，对布点、采样、分析、数据处理的全过程实施质量控制，严格操作技术规范，保证监测数据的准确可靠。</w:t>
            </w:r>
          </w:p>
          <w:p>
            <w:pPr>
              <w:widowControl w:val="0"/>
              <w:ind w:firstLine="480"/>
              <w:rPr>
                <w:rFonts w:hint="default"/>
              </w:rPr>
            </w:pPr>
            <w:r>
              <w:rPr>
                <w:rFonts w:hint="default"/>
              </w:rPr>
              <w:t>（1）按监测规定对废气测定仪器进行校准，采样前用标准气体流量计进行流量校准。</w:t>
            </w:r>
          </w:p>
          <w:p>
            <w:pPr>
              <w:widowControl w:val="0"/>
              <w:ind w:firstLine="480"/>
              <w:rPr>
                <w:rFonts w:hint="eastAsia"/>
                <w:lang w:eastAsia="zh-CN"/>
              </w:rPr>
            </w:pPr>
            <w:r>
              <w:rPr>
                <w:rFonts w:hint="eastAsia"/>
              </w:rPr>
              <w:t>（</w:t>
            </w:r>
            <w:r>
              <w:rPr>
                <w:rFonts w:hint="eastAsia"/>
                <w:lang w:eastAsia="zh-CN"/>
              </w:rPr>
              <w:t>2）严格按照《空气和废气监测分析方法》（第四版-增补版）和国家标准分析方法进行采样及测试。</w:t>
            </w:r>
          </w:p>
          <w:p>
            <w:pPr>
              <w:widowControl w:val="0"/>
              <w:ind w:firstLine="480"/>
              <w:rPr>
                <w:rFonts w:hint="eastAsia"/>
                <w:lang w:eastAsia="zh-CN"/>
              </w:rPr>
            </w:pPr>
            <w:r>
              <w:rPr>
                <w:rFonts w:hint="eastAsia"/>
                <w:lang w:eastAsia="zh-CN"/>
              </w:rPr>
              <w:t>（3）所用分析仪器经过了周期性计量检定。</w:t>
            </w:r>
          </w:p>
          <w:p>
            <w:pPr>
              <w:widowControl w:val="0"/>
              <w:ind w:firstLine="480"/>
              <w:rPr>
                <w:rFonts w:hint="eastAsia"/>
                <w:lang w:eastAsia="zh-CN"/>
              </w:rPr>
            </w:pPr>
            <w:r>
              <w:rPr>
                <w:rFonts w:hint="eastAsia"/>
                <w:lang w:eastAsia="zh-CN"/>
              </w:rPr>
              <w:t>（</w:t>
            </w:r>
            <w:r>
              <w:rPr>
                <w:rFonts w:hint="eastAsia"/>
                <w:lang w:val="en-US" w:eastAsia="zh-CN"/>
              </w:rPr>
              <w:t>4</w:t>
            </w:r>
            <w:r>
              <w:rPr>
                <w:rFonts w:hint="eastAsia"/>
                <w:lang w:eastAsia="zh-CN"/>
              </w:rPr>
              <w:t xml:space="preserve">）噪声测量前后测量仪器均经校准，灵敏度相差不大 0.5dB（A）。监测时 测量仪器配置防风罩，风速＞5m/s 停止测试，噪声校准结果详见表 </w:t>
            </w:r>
            <w:r>
              <w:rPr>
                <w:rFonts w:hint="eastAsia"/>
                <w:lang w:val="en-US" w:eastAsia="zh-CN"/>
              </w:rPr>
              <w:t>5</w:t>
            </w:r>
            <w:r>
              <w:rPr>
                <w:rFonts w:hint="eastAsia"/>
                <w:lang w:eastAsia="zh-CN"/>
              </w:rPr>
              <w:t>-</w:t>
            </w:r>
            <w:r>
              <w:rPr>
                <w:rFonts w:hint="eastAsia"/>
                <w:lang w:val="en-US" w:eastAsia="zh-CN"/>
              </w:rPr>
              <w:t>4</w:t>
            </w:r>
            <w:r>
              <w:rPr>
                <w:rFonts w:hint="eastAsia"/>
                <w:lang w:eastAsia="zh-CN"/>
              </w:rPr>
              <w:t>。</w:t>
            </w:r>
          </w:p>
          <w:p>
            <w:pPr>
              <w:pStyle w:val="22"/>
              <w:widowControl w:val="0"/>
              <w:rPr>
                <w:rFonts w:hint="eastAsia"/>
              </w:rPr>
            </w:pPr>
            <w:r>
              <w:rPr>
                <w:rFonts w:hint="eastAsia"/>
              </w:rPr>
              <w:t>表</w:t>
            </w:r>
            <w:r>
              <w:rPr>
                <w:rFonts w:hint="eastAsia"/>
                <w:lang w:val="en-US" w:eastAsia="zh-CN"/>
              </w:rPr>
              <w:t>5</w:t>
            </w:r>
            <w:r>
              <w:rPr>
                <w:rFonts w:hint="eastAsia"/>
              </w:rPr>
              <w:t>-</w:t>
            </w:r>
            <w:r>
              <w:rPr>
                <w:rFonts w:hint="eastAsia"/>
                <w:lang w:val="en-US" w:eastAsia="zh-CN"/>
              </w:rPr>
              <w:t>4</w:t>
            </w:r>
            <w:r>
              <w:rPr>
                <w:rFonts w:hint="eastAsia"/>
              </w:rPr>
              <w:t xml:space="preserve"> 声级计较准记录表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62"/>
              <w:gridCol w:w="1828"/>
              <w:gridCol w:w="1665"/>
              <w:gridCol w:w="800"/>
              <w:gridCol w:w="967"/>
              <w:gridCol w:w="1006"/>
              <w:gridCol w:w="8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147" w:hRule="exact"/>
              </w:trPr>
              <w:tc>
                <w:tcPr>
                  <w:tcW w:w="862" w:type="dxa"/>
                  <w:noWrap w:val="0"/>
                  <w:vAlign w:val="center"/>
                </w:tcPr>
                <w:p>
                  <w:pPr>
                    <w:bidi w:val="0"/>
                    <w:jc w:val="center"/>
                    <w:rPr>
                      <w:rFonts w:hint="default"/>
                    </w:rPr>
                  </w:pPr>
                  <w:r>
                    <w:rPr>
                      <w:rFonts w:hint="default"/>
                    </w:rPr>
                    <w:t>序号</w:t>
                  </w:r>
                </w:p>
              </w:tc>
              <w:tc>
                <w:tcPr>
                  <w:tcW w:w="1828" w:type="dxa"/>
                  <w:noWrap w:val="0"/>
                  <w:vAlign w:val="center"/>
                </w:tcPr>
                <w:p>
                  <w:pPr>
                    <w:bidi w:val="0"/>
                    <w:jc w:val="center"/>
                    <w:rPr>
                      <w:rFonts w:hint="default"/>
                    </w:rPr>
                  </w:pPr>
                  <w:r>
                    <w:rPr>
                      <w:rFonts w:hint="default"/>
                    </w:rPr>
                    <w:t>仪器设备名称</w:t>
                  </w:r>
                </w:p>
              </w:tc>
              <w:tc>
                <w:tcPr>
                  <w:tcW w:w="1665" w:type="dxa"/>
                  <w:noWrap w:val="0"/>
                  <w:vAlign w:val="center"/>
                </w:tcPr>
                <w:p>
                  <w:pPr>
                    <w:bidi w:val="0"/>
                    <w:jc w:val="center"/>
                    <w:rPr>
                      <w:rFonts w:hint="default"/>
                    </w:rPr>
                  </w:pPr>
                  <w:r>
                    <w:rPr>
                      <w:rFonts w:hint="default"/>
                    </w:rPr>
                    <w:t>校准设备名称</w:t>
                  </w:r>
                </w:p>
              </w:tc>
              <w:tc>
                <w:tcPr>
                  <w:tcW w:w="800" w:type="dxa"/>
                  <w:noWrap w:val="0"/>
                  <w:vAlign w:val="center"/>
                </w:tcPr>
                <w:p>
                  <w:pPr>
                    <w:bidi w:val="0"/>
                    <w:jc w:val="center"/>
                    <w:rPr>
                      <w:rFonts w:hint="default"/>
                    </w:rPr>
                  </w:pPr>
                  <w:r>
                    <w:rPr>
                      <w:rFonts w:hint="default"/>
                    </w:rPr>
                    <w:t>校准值</w:t>
                  </w:r>
                </w:p>
              </w:tc>
              <w:tc>
                <w:tcPr>
                  <w:tcW w:w="967" w:type="dxa"/>
                  <w:noWrap w:val="0"/>
                  <w:vAlign w:val="center"/>
                </w:tcPr>
                <w:p>
                  <w:pPr>
                    <w:bidi w:val="0"/>
                    <w:jc w:val="center"/>
                    <w:rPr>
                      <w:rFonts w:hint="default"/>
                    </w:rPr>
                  </w:pPr>
                  <w:r>
                    <w:rPr>
                      <w:rFonts w:hint="default"/>
                    </w:rPr>
                    <w:t>校准器标准值</w:t>
                  </w:r>
                </w:p>
              </w:tc>
              <w:tc>
                <w:tcPr>
                  <w:tcW w:w="1006" w:type="dxa"/>
                  <w:noWrap w:val="0"/>
                  <w:vAlign w:val="center"/>
                </w:tcPr>
                <w:p>
                  <w:pPr>
                    <w:bidi w:val="0"/>
                    <w:jc w:val="center"/>
                    <w:rPr>
                      <w:rFonts w:hint="default"/>
                    </w:rPr>
                  </w:pPr>
                  <w:r>
                    <w:rPr>
                      <w:rFonts w:hint="default"/>
                    </w:rPr>
                    <w:t>允许误差范围</w:t>
                  </w:r>
                </w:p>
              </w:tc>
              <w:tc>
                <w:tcPr>
                  <w:tcW w:w="892" w:type="dxa"/>
                  <w:noWrap w:val="0"/>
                  <w:vAlign w:val="center"/>
                </w:tcPr>
                <w:p>
                  <w:pPr>
                    <w:bidi w:val="0"/>
                    <w:jc w:val="center"/>
                    <w:rPr>
                      <w:rFonts w:hint="default"/>
                    </w:rPr>
                  </w:pPr>
                  <w:r>
                    <w:rPr>
                      <w:rFonts w:hint="default"/>
                    </w:rPr>
                    <w:t>结果评价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68" w:hRule="exact"/>
              </w:trPr>
              <w:tc>
                <w:tcPr>
                  <w:tcW w:w="862" w:type="dxa"/>
                  <w:noWrap w:val="0"/>
                  <w:vAlign w:val="center"/>
                </w:tcPr>
                <w:p>
                  <w:pPr>
                    <w:bidi w:val="0"/>
                    <w:jc w:val="center"/>
                    <w:rPr>
                      <w:rFonts w:hint="default"/>
                    </w:rPr>
                  </w:pPr>
                  <w:r>
                    <w:rPr>
                      <w:rFonts w:hint="default"/>
                    </w:rPr>
                    <w:t>采样前</w:t>
                  </w:r>
                </w:p>
              </w:tc>
              <w:tc>
                <w:tcPr>
                  <w:tcW w:w="1828" w:type="dxa"/>
                  <w:noWrap w:val="0"/>
                  <w:vAlign w:val="center"/>
                </w:tcPr>
                <w:p>
                  <w:pPr>
                    <w:bidi w:val="0"/>
                    <w:jc w:val="center"/>
                    <w:rPr>
                      <w:rFonts w:hint="default"/>
                    </w:rPr>
                  </w:pPr>
                  <w:r>
                    <w:rPr>
                      <w:rFonts w:hint="default"/>
                    </w:rPr>
                    <w:t>AWA568</w:t>
                  </w:r>
                  <w:r>
                    <w:rPr>
                      <w:rFonts w:hint="default"/>
                      <w:lang w:val="en-US" w:eastAsia="zh-CN"/>
                    </w:rPr>
                    <w:t>8</w:t>
                  </w:r>
                  <w:r>
                    <w:rPr>
                      <w:rFonts w:hint="default"/>
                    </w:rPr>
                    <w:t xml:space="preserve"> 声级计</w:t>
                  </w:r>
                </w:p>
                <w:p>
                  <w:pPr>
                    <w:bidi w:val="0"/>
                    <w:jc w:val="center"/>
                    <w:rPr>
                      <w:rFonts w:hint="default"/>
                    </w:rPr>
                  </w:pPr>
                  <w:r>
                    <w:rPr>
                      <w:rFonts w:hint="default"/>
                    </w:rPr>
                    <w:t>（编号：</w:t>
                  </w:r>
                  <w:r>
                    <w:rPr>
                      <w:rFonts w:hint="default"/>
                      <w:lang w:val="en-US" w:eastAsia="zh-CN"/>
                    </w:rPr>
                    <w:t>XJZC127</w:t>
                  </w:r>
                  <w:r>
                    <w:rPr>
                      <w:rFonts w:hint="default"/>
                    </w:rPr>
                    <w:t>）</w:t>
                  </w:r>
                </w:p>
              </w:tc>
              <w:tc>
                <w:tcPr>
                  <w:tcW w:w="1665" w:type="dxa"/>
                  <w:noWrap w:val="0"/>
                  <w:vAlign w:val="center"/>
                </w:tcPr>
                <w:p>
                  <w:pPr>
                    <w:bidi w:val="0"/>
                    <w:jc w:val="center"/>
                    <w:rPr>
                      <w:rFonts w:hint="default"/>
                    </w:rPr>
                  </w:pPr>
                  <w:r>
                    <w:rPr>
                      <w:rFonts w:hint="default"/>
                    </w:rPr>
                    <w:t>AWA6221B声级校准器（编号：</w:t>
                  </w:r>
                  <w:r>
                    <w:rPr>
                      <w:rFonts w:hint="default"/>
                      <w:lang w:val="en-US" w:eastAsia="zh-CN"/>
                    </w:rPr>
                    <w:t>XJZC103</w:t>
                  </w:r>
                  <w:r>
                    <w:rPr>
                      <w:rFonts w:hint="default"/>
                    </w:rPr>
                    <w:t>）</w:t>
                  </w:r>
                </w:p>
              </w:tc>
              <w:tc>
                <w:tcPr>
                  <w:tcW w:w="800" w:type="dxa"/>
                  <w:noWrap w:val="0"/>
                  <w:vAlign w:val="center"/>
                </w:tcPr>
                <w:p>
                  <w:pPr>
                    <w:bidi w:val="0"/>
                    <w:jc w:val="center"/>
                    <w:rPr>
                      <w:rFonts w:hint="default"/>
                      <w:lang w:eastAsia="zh-CN"/>
                    </w:rPr>
                  </w:pPr>
                  <w:r>
                    <w:rPr>
                      <w:rFonts w:hint="default"/>
                    </w:rPr>
                    <w:t>93.8 dB</w:t>
                  </w:r>
                  <w:r>
                    <w:rPr>
                      <w:rFonts w:hint="default"/>
                      <w:lang w:eastAsia="zh-CN"/>
                    </w:rPr>
                    <w:t>（</w:t>
                  </w:r>
                  <w:r>
                    <w:rPr>
                      <w:rFonts w:hint="default"/>
                    </w:rPr>
                    <w:t>A</w:t>
                  </w:r>
                  <w:r>
                    <w:rPr>
                      <w:rFonts w:hint="default"/>
                      <w:lang w:eastAsia="zh-CN"/>
                    </w:rPr>
                    <w:t>）</w:t>
                  </w:r>
                </w:p>
              </w:tc>
              <w:tc>
                <w:tcPr>
                  <w:tcW w:w="967" w:type="dxa"/>
                  <w:noWrap w:val="0"/>
                  <w:vAlign w:val="center"/>
                </w:tcPr>
                <w:p>
                  <w:pPr>
                    <w:bidi w:val="0"/>
                    <w:jc w:val="center"/>
                    <w:rPr>
                      <w:rFonts w:hint="default"/>
                      <w:lang w:eastAsia="zh-CN"/>
                    </w:rPr>
                  </w:pPr>
                  <w:r>
                    <w:rPr>
                      <w:rFonts w:hint="default"/>
                    </w:rPr>
                    <w:t>94.0 dB</w:t>
                  </w:r>
                  <w:r>
                    <w:rPr>
                      <w:rFonts w:hint="default"/>
                      <w:lang w:eastAsia="zh-CN"/>
                    </w:rPr>
                    <w:t>（</w:t>
                  </w:r>
                  <w:r>
                    <w:rPr>
                      <w:rFonts w:hint="default"/>
                    </w:rPr>
                    <w:t>A</w:t>
                  </w:r>
                  <w:r>
                    <w:rPr>
                      <w:rFonts w:hint="default"/>
                      <w:lang w:eastAsia="zh-CN"/>
                    </w:rPr>
                    <w:t>）</w:t>
                  </w:r>
                </w:p>
              </w:tc>
              <w:tc>
                <w:tcPr>
                  <w:tcW w:w="1006" w:type="dxa"/>
                  <w:noWrap w:val="0"/>
                  <w:vAlign w:val="center"/>
                </w:tcPr>
                <w:p>
                  <w:pPr>
                    <w:bidi w:val="0"/>
                    <w:jc w:val="center"/>
                    <w:rPr>
                      <w:rFonts w:hint="default"/>
                      <w:lang w:eastAsia="zh-CN"/>
                    </w:rPr>
                  </w:pPr>
                  <w:r>
                    <w:rPr>
                      <w:rFonts w:hint="default"/>
                    </w:rPr>
                    <w:t>±0.5 dB</w:t>
                  </w:r>
                  <w:r>
                    <w:rPr>
                      <w:rFonts w:hint="default"/>
                      <w:lang w:eastAsia="zh-CN"/>
                    </w:rPr>
                    <w:t>（</w:t>
                  </w:r>
                  <w:r>
                    <w:rPr>
                      <w:rFonts w:hint="default"/>
                    </w:rPr>
                    <w:t>A</w:t>
                  </w:r>
                  <w:r>
                    <w:rPr>
                      <w:rFonts w:hint="default"/>
                      <w:lang w:eastAsia="zh-CN"/>
                    </w:rPr>
                    <w:t>）</w:t>
                  </w:r>
                </w:p>
              </w:tc>
              <w:tc>
                <w:tcPr>
                  <w:tcW w:w="892" w:type="dxa"/>
                  <w:noWrap w:val="0"/>
                  <w:vAlign w:val="center"/>
                </w:tcPr>
                <w:p>
                  <w:pPr>
                    <w:bidi w:val="0"/>
                    <w:jc w:val="center"/>
                    <w:rPr>
                      <w:rFonts w:hint="default"/>
                    </w:rPr>
                  </w:pPr>
                  <w:r>
                    <w:rPr>
                      <w:rFonts w:hint="default"/>
                    </w:rPr>
                    <w:t>合格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83" w:hRule="exact"/>
              </w:trPr>
              <w:tc>
                <w:tcPr>
                  <w:tcW w:w="862" w:type="dxa"/>
                  <w:noWrap w:val="0"/>
                  <w:vAlign w:val="center"/>
                </w:tcPr>
                <w:p>
                  <w:pPr>
                    <w:bidi w:val="0"/>
                    <w:jc w:val="center"/>
                    <w:rPr>
                      <w:rFonts w:hint="default"/>
                    </w:rPr>
                  </w:pPr>
                  <w:r>
                    <w:rPr>
                      <w:rFonts w:hint="default"/>
                    </w:rPr>
                    <w:t>采样后</w:t>
                  </w:r>
                </w:p>
              </w:tc>
              <w:tc>
                <w:tcPr>
                  <w:tcW w:w="1828" w:type="dxa"/>
                  <w:noWrap w:val="0"/>
                  <w:vAlign w:val="center"/>
                </w:tcPr>
                <w:p>
                  <w:pPr>
                    <w:bidi w:val="0"/>
                    <w:jc w:val="center"/>
                    <w:rPr>
                      <w:rFonts w:hint="default"/>
                    </w:rPr>
                  </w:pPr>
                  <w:r>
                    <w:rPr>
                      <w:rFonts w:hint="default"/>
                    </w:rPr>
                    <w:t>AWA568</w:t>
                  </w:r>
                  <w:r>
                    <w:rPr>
                      <w:rFonts w:hint="default"/>
                      <w:lang w:val="en-US" w:eastAsia="zh-CN"/>
                    </w:rPr>
                    <w:t>8</w:t>
                  </w:r>
                  <w:r>
                    <w:rPr>
                      <w:rFonts w:hint="default"/>
                    </w:rPr>
                    <w:t xml:space="preserve"> 声级计</w:t>
                  </w:r>
                </w:p>
                <w:p>
                  <w:pPr>
                    <w:bidi w:val="0"/>
                    <w:jc w:val="center"/>
                    <w:rPr>
                      <w:rFonts w:hint="default"/>
                    </w:rPr>
                  </w:pPr>
                  <w:r>
                    <w:rPr>
                      <w:rFonts w:hint="default"/>
                    </w:rPr>
                    <w:t>（编号：</w:t>
                  </w:r>
                  <w:r>
                    <w:rPr>
                      <w:rFonts w:hint="default"/>
                      <w:lang w:val="en-US" w:eastAsia="zh-CN"/>
                    </w:rPr>
                    <w:t>XJZC127</w:t>
                  </w:r>
                  <w:r>
                    <w:rPr>
                      <w:rFonts w:hint="default"/>
                    </w:rPr>
                    <w:t>）</w:t>
                  </w:r>
                </w:p>
              </w:tc>
              <w:tc>
                <w:tcPr>
                  <w:tcW w:w="1665" w:type="dxa"/>
                  <w:noWrap w:val="0"/>
                  <w:vAlign w:val="center"/>
                </w:tcPr>
                <w:p>
                  <w:pPr>
                    <w:bidi w:val="0"/>
                    <w:jc w:val="center"/>
                    <w:rPr>
                      <w:rFonts w:hint="default"/>
                    </w:rPr>
                  </w:pPr>
                  <w:r>
                    <w:rPr>
                      <w:rFonts w:hint="default"/>
                    </w:rPr>
                    <w:t>AWA6221B声级校准器（编号：</w:t>
                  </w:r>
                  <w:r>
                    <w:rPr>
                      <w:rFonts w:hint="default"/>
                      <w:lang w:val="en-US" w:eastAsia="zh-CN"/>
                    </w:rPr>
                    <w:t>XJZC103</w:t>
                  </w:r>
                  <w:r>
                    <w:rPr>
                      <w:rFonts w:hint="default"/>
                    </w:rPr>
                    <w:t>）</w:t>
                  </w:r>
                </w:p>
              </w:tc>
              <w:tc>
                <w:tcPr>
                  <w:tcW w:w="800" w:type="dxa"/>
                  <w:noWrap w:val="0"/>
                  <w:vAlign w:val="center"/>
                </w:tcPr>
                <w:p>
                  <w:pPr>
                    <w:bidi w:val="0"/>
                    <w:jc w:val="center"/>
                    <w:rPr>
                      <w:rFonts w:hint="default"/>
                      <w:lang w:eastAsia="zh-CN"/>
                    </w:rPr>
                  </w:pPr>
                  <w:r>
                    <w:rPr>
                      <w:rFonts w:hint="default"/>
                    </w:rPr>
                    <w:t>93.7 dB</w:t>
                  </w:r>
                  <w:r>
                    <w:rPr>
                      <w:rFonts w:hint="default"/>
                      <w:lang w:eastAsia="zh-CN"/>
                    </w:rPr>
                    <w:t>（</w:t>
                  </w:r>
                  <w:r>
                    <w:rPr>
                      <w:rFonts w:hint="default"/>
                    </w:rPr>
                    <w:t>A</w:t>
                  </w:r>
                  <w:r>
                    <w:rPr>
                      <w:rFonts w:hint="default"/>
                      <w:lang w:eastAsia="zh-CN"/>
                    </w:rPr>
                    <w:t>）</w:t>
                  </w:r>
                </w:p>
              </w:tc>
              <w:tc>
                <w:tcPr>
                  <w:tcW w:w="967" w:type="dxa"/>
                  <w:noWrap w:val="0"/>
                  <w:vAlign w:val="center"/>
                </w:tcPr>
                <w:p>
                  <w:pPr>
                    <w:bidi w:val="0"/>
                    <w:jc w:val="center"/>
                    <w:rPr>
                      <w:rFonts w:hint="default"/>
                      <w:lang w:eastAsia="zh-CN"/>
                    </w:rPr>
                  </w:pPr>
                  <w:r>
                    <w:rPr>
                      <w:rFonts w:hint="default"/>
                    </w:rPr>
                    <w:t>94.0 dB</w:t>
                  </w:r>
                  <w:r>
                    <w:rPr>
                      <w:rFonts w:hint="default"/>
                      <w:lang w:eastAsia="zh-CN"/>
                    </w:rPr>
                    <w:t>（</w:t>
                  </w:r>
                  <w:r>
                    <w:rPr>
                      <w:rFonts w:hint="default"/>
                    </w:rPr>
                    <w:t>A</w:t>
                  </w:r>
                  <w:r>
                    <w:rPr>
                      <w:rFonts w:hint="default"/>
                      <w:lang w:eastAsia="zh-CN"/>
                    </w:rPr>
                    <w:t>）</w:t>
                  </w:r>
                </w:p>
              </w:tc>
              <w:tc>
                <w:tcPr>
                  <w:tcW w:w="1006" w:type="dxa"/>
                  <w:noWrap w:val="0"/>
                  <w:vAlign w:val="center"/>
                </w:tcPr>
                <w:p>
                  <w:pPr>
                    <w:bidi w:val="0"/>
                    <w:jc w:val="center"/>
                    <w:rPr>
                      <w:rFonts w:hint="default"/>
                      <w:lang w:eastAsia="zh-CN"/>
                    </w:rPr>
                  </w:pPr>
                  <w:r>
                    <w:rPr>
                      <w:rFonts w:hint="default"/>
                    </w:rPr>
                    <w:t>±0.5 dB</w:t>
                  </w:r>
                  <w:r>
                    <w:rPr>
                      <w:rFonts w:hint="default"/>
                      <w:lang w:eastAsia="zh-CN"/>
                    </w:rPr>
                    <w:t>（</w:t>
                  </w:r>
                  <w:r>
                    <w:rPr>
                      <w:rFonts w:hint="default"/>
                    </w:rPr>
                    <w:t>A</w:t>
                  </w:r>
                  <w:r>
                    <w:rPr>
                      <w:rFonts w:hint="default"/>
                      <w:lang w:eastAsia="zh-CN"/>
                    </w:rPr>
                    <w:t>）</w:t>
                  </w:r>
                </w:p>
              </w:tc>
              <w:tc>
                <w:tcPr>
                  <w:tcW w:w="892" w:type="dxa"/>
                  <w:noWrap w:val="0"/>
                  <w:vAlign w:val="center"/>
                </w:tcPr>
                <w:p>
                  <w:pPr>
                    <w:bidi w:val="0"/>
                    <w:jc w:val="center"/>
                    <w:rPr>
                      <w:rFonts w:hint="default"/>
                    </w:rPr>
                  </w:pPr>
                  <w:r>
                    <w:rPr>
                      <w:rFonts w:hint="default"/>
                    </w:rPr>
                    <w:t>合格</w:t>
                  </w:r>
                </w:p>
              </w:tc>
            </w:tr>
          </w:tbl>
          <w:p>
            <w:pPr>
              <w:pStyle w:val="6"/>
              <w:keepNext w:val="0"/>
              <w:keepLines/>
              <w:pageBreakBefore w:val="0"/>
              <w:widowControl/>
              <w:kinsoku/>
              <w:wordWrap/>
              <w:overflowPunct/>
              <w:topLinePunct w:val="0"/>
              <w:autoSpaceDE/>
              <w:autoSpaceDN/>
              <w:bidi w:val="0"/>
              <w:adjustRightInd/>
              <w:snapToGrid/>
              <w:spacing w:before="0" w:beforeLines="0" w:after="0" w:afterLines="0"/>
              <w:textAlignment w:val="auto"/>
              <w:outlineLvl w:val="1"/>
              <w:rPr>
                <w:rFonts w:hint="eastAsia"/>
                <w:lang w:val="en-US" w:eastAsia="zh-CN"/>
              </w:rPr>
            </w:pPr>
            <w:bookmarkStart w:id="88" w:name="_Toc24277"/>
            <w:bookmarkStart w:id="89" w:name="_Toc1716"/>
            <w:r>
              <w:rPr>
                <w:rFonts w:hint="eastAsia"/>
                <w:lang w:val="en-US" w:eastAsia="zh-CN"/>
              </w:rPr>
              <w:t>5.5验收监测结果及评价</w:t>
            </w:r>
            <w:bookmarkEnd w:id="88"/>
          </w:p>
          <w:bookmarkEnd w:id="89"/>
          <w:p>
            <w:pPr>
              <w:pStyle w:val="7"/>
              <w:widowControl w:val="0"/>
              <w:bidi w:val="0"/>
              <w:rPr>
                <w:rFonts w:hint="eastAsia"/>
                <w:lang w:eastAsia="zh-CN"/>
              </w:rPr>
            </w:pPr>
            <w:bookmarkStart w:id="90" w:name="_Toc19078"/>
            <w:bookmarkStart w:id="91" w:name="_Toc30347"/>
            <w:bookmarkStart w:id="92" w:name="_Toc11155"/>
            <w:bookmarkStart w:id="93" w:name="_Toc16149"/>
            <w:r>
              <w:rPr>
                <w:rFonts w:hint="eastAsia"/>
                <w:lang w:val="en-US" w:eastAsia="zh-CN"/>
              </w:rPr>
              <w:t>5</w:t>
            </w:r>
            <w:r>
              <w:rPr>
                <w:rFonts w:hint="eastAsia"/>
                <w:lang w:eastAsia="zh-CN"/>
              </w:rPr>
              <w:t>.</w:t>
            </w:r>
            <w:r>
              <w:rPr>
                <w:rFonts w:hint="eastAsia"/>
                <w:lang w:val="en-US" w:eastAsia="zh-CN"/>
              </w:rPr>
              <w:t>5.1</w:t>
            </w:r>
            <w:r>
              <w:rPr>
                <w:rFonts w:hint="eastAsia"/>
                <w:lang w:eastAsia="zh-CN"/>
              </w:rPr>
              <w:t>废气监测结果及评价</w:t>
            </w:r>
            <w:bookmarkEnd w:id="90"/>
            <w:bookmarkEnd w:id="91"/>
            <w:bookmarkEnd w:id="92"/>
            <w:bookmarkEnd w:id="93"/>
          </w:p>
          <w:p>
            <w:pPr>
              <w:widowControl w:val="0"/>
              <w:bidi w:val="0"/>
              <w:ind w:firstLine="480" w:firstLineChars="200"/>
              <w:rPr>
                <w:rFonts w:hint="eastAsia"/>
                <w:lang w:val="en-US" w:eastAsia="zh-CN"/>
              </w:rPr>
            </w:pPr>
            <w:r>
              <w:rPr>
                <w:rFonts w:hint="eastAsia"/>
                <w:lang w:eastAsia="zh-CN"/>
              </w:rPr>
              <w:t>本项目</w:t>
            </w:r>
            <w:r>
              <w:rPr>
                <w:rFonts w:hint="eastAsia"/>
                <w:lang w:val="en-US" w:eastAsia="zh-CN"/>
              </w:rPr>
              <w:t>有组织</w:t>
            </w:r>
            <w:r>
              <w:rPr>
                <w:rFonts w:hint="eastAsia"/>
                <w:lang w:eastAsia="zh-CN"/>
              </w:rPr>
              <w:t>废气主要为</w:t>
            </w:r>
            <w:r>
              <w:rPr>
                <w:rFonts w:hint="eastAsia"/>
                <w:lang w:val="en-US" w:eastAsia="zh-CN"/>
              </w:rPr>
              <w:t>营运期废气</w:t>
            </w:r>
            <w:r>
              <w:rPr>
                <w:rFonts w:hint="default"/>
                <w:lang w:val="en-US" w:eastAsia="zh-CN"/>
              </w:rPr>
              <w:t>搅拌工序废气和水泥筒仓、粉煤灰筒仓和矿粉筒仓呼吸孔废气</w:t>
            </w:r>
            <w:r>
              <w:rPr>
                <w:rFonts w:hint="eastAsia"/>
                <w:lang w:val="en-US" w:eastAsia="zh-CN"/>
              </w:rPr>
              <w:t>、饮食业油烟。</w:t>
            </w:r>
          </w:p>
          <w:p>
            <w:pPr>
              <w:widowControl w:val="0"/>
              <w:bidi w:val="0"/>
              <w:ind w:firstLine="480" w:firstLineChars="200"/>
              <w:rPr>
                <w:rFonts w:hint="default"/>
                <w:lang w:val="en-US" w:eastAsia="zh-CN"/>
              </w:rPr>
            </w:pPr>
            <w:r>
              <w:rPr>
                <w:rFonts w:hint="default"/>
                <w:lang w:val="en-US" w:eastAsia="zh-CN"/>
              </w:rPr>
              <w:t>本项目搅拌楼选用120型混凝土搅拌站，该混凝土搅拌机为密封装置，产生的粉尘全部采用自带的主动式除尘器进行除尘，在搅拌机内回用，无排气口。</w:t>
            </w:r>
          </w:p>
          <w:p>
            <w:pPr>
              <w:widowControl w:val="0"/>
              <w:bidi w:val="0"/>
              <w:ind w:firstLine="480" w:firstLineChars="200"/>
              <w:rPr>
                <w:rFonts w:hint="default"/>
                <w:lang w:val="en-US" w:eastAsia="zh-CN"/>
              </w:rPr>
            </w:pPr>
            <w:r>
              <w:rPr>
                <w:rFonts w:hint="default"/>
                <w:lang w:val="en-US" w:eastAsia="zh-CN"/>
              </w:rPr>
              <w:t>水泥筒仓、粉煤灰筒仓和矿粉筒仓呼吸孔废气：水泥、粉煤灰和矿粉</w:t>
            </w:r>
            <w:r>
              <w:rPr>
                <w:rFonts w:hint="eastAsia"/>
                <w:lang w:val="en-US" w:eastAsia="zh-CN"/>
              </w:rPr>
              <w:t>在</w:t>
            </w:r>
            <w:r>
              <w:rPr>
                <w:rFonts w:hint="default"/>
                <w:lang w:val="en-US" w:eastAsia="zh-CN"/>
              </w:rPr>
              <w:t>进入筒仓时在其顶部排气孔有少量颗粒物排出，每个筒仓排气孔装有自带的脉冲反吹式袋式除尘器，且筒仓全部设置在密封厂房内，</w:t>
            </w:r>
            <w:r>
              <w:rPr>
                <w:rFonts w:hint="eastAsia"/>
                <w:lang w:val="en-US" w:eastAsia="zh-CN"/>
              </w:rPr>
              <w:t>无需监测，</w:t>
            </w:r>
            <w:r>
              <w:rPr>
                <w:rFonts w:hint="default"/>
                <w:lang w:val="en-US" w:eastAsia="zh-CN"/>
              </w:rPr>
              <w:t>废气排放对环境影响不大。</w:t>
            </w:r>
          </w:p>
          <w:p>
            <w:pPr>
              <w:widowControl w:val="0"/>
              <w:bidi w:val="0"/>
              <w:ind w:firstLine="480" w:firstLineChars="200"/>
              <w:rPr>
                <w:rFonts w:hint="eastAsia"/>
                <w:lang w:val="en-US" w:eastAsia="zh-CN"/>
              </w:rPr>
            </w:pPr>
            <w:r>
              <w:rPr>
                <w:rFonts w:hint="eastAsia"/>
                <w:lang w:val="en-US" w:eastAsia="zh-CN"/>
              </w:rPr>
              <w:t>监测结果见表5-5所示，厂界无组织废气排放监测结果见表5-6所示。</w:t>
            </w:r>
          </w:p>
          <w:p>
            <w:pPr>
              <w:pStyle w:val="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b/>
                <w:bCs/>
                <w:sz w:val="24"/>
                <w:lang w:val="en-US" w:eastAsia="zh-CN"/>
              </w:rPr>
            </w:pPr>
            <w:r>
              <w:rPr>
                <w:rFonts w:hint="eastAsia"/>
                <w:b/>
                <w:bCs/>
                <w:sz w:val="24"/>
                <w:lang w:val="en-US" w:eastAsia="zh-CN"/>
              </w:rPr>
              <w:t>表5-5    无组织废气监测结果</w:t>
            </w:r>
          </w:p>
          <w:tbl>
            <w:tblPr>
              <w:tblStyle w:val="23"/>
              <w:tblW w:w="8076" w:type="dxa"/>
              <w:tblInd w:w="5"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056"/>
              <w:gridCol w:w="42"/>
              <w:gridCol w:w="704"/>
              <w:gridCol w:w="1205"/>
              <w:gridCol w:w="1205"/>
              <w:gridCol w:w="1209"/>
              <w:gridCol w:w="885"/>
              <w:gridCol w:w="885"/>
              <w:gridCol w:w="88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16" w:hRule="atLeast"/>
              </w:trPr>
              <w:tc>
                <w:tcPr>
                  <w:tcW w:w="1098" w:type="dxa"/>
                  <w:gridSpan w:val="2"/>
                  <w:tcBorders>
                    <w:tl2br w:val="nil"/>
                    <w:tr2bl w:val="nil"/>
                  </w:tcBorders>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检测项目</w:t>
                  </w:r>
                </w:p>
              </w:tc>
              <w:tc>
                <w:tcPr>
                  <w:tcW w:w="704" w:type="dxa"/>
                  <w:tcBorders>
                    <w:tl2br w:val="nil"/>
                    <w:tr2bl w:val="nil"/>
                  </w:tcBorders>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单位</w:t>
                  </w:r>
                </w:p>
              </w:tc>
              <w:tc>
                <w:tcPr>
                  <w:tcW w:w="3619" w:type="dxa"/>
                  <w:gridSpan w:val="3"/>
                  <w:tcBorders>
                    <w:tl2br w:val="nil"/>
                    <w:tr2bl w:val="nil"/>
                  </w:tcBorders>
                  <w:noWrap w:val="0"/>
                  <w:vAlign w:val="center"/>
                </w:tcPr>
                <w:p>
                  <w:pPr>
                    <w:jc w:val="center"/>
                    <w:rPr>
                      <w:rFonts w:hint="eastAsia" w:ascii="宋体" w:hAnsi="宋体" w:eastAsia="宋体" w:cs="宋体"/>
                      <w:sz w:val="21"/>
                      <w:szCs w:val="21"/>
                      <w:lang w:eastAsia="zh-CN"/>
                    </w:rPr>
                  </w:pPr>
                  <w:r>
                    <w:rPr>
                      <w:rFonts w:hint="eastAsia" w:ascii="宋体" w:hAnsi="宋体" w:cs="宋体"/>
                      <w:sz w:val="21"/>
                      <w:szCs w:val="21"/>
                      <w:lang w:eastAsia="zh-CN"/>
                    </w:rPr>
                    <w:t>样品编号及检测结果</w:t>
                  </w:r>
                </w:p>
              </w:tc>
              <w:tc>
                <w:tcPr>
                  <w:tcW w:w="885" w:type="dxa"/>
                  <w:tcBorders>
                    <w:tl2br w:val="nil"/>
                    <w:tr2bl w:val="nil"/>
                  </w:tcBorders>
                  <w:noWrap w:val="0"/>
                  <w:vAlign w:val="center"/>
                </w:tcPr>
                <w:p>
                  <w:pPr>
                    <w:spacing w:line="240" w:lineRule="exact"/>
                    <w:jc w:val="center"/>
                    <w:rPr>
                      <w:rFonts w:hint="eastAsia" w:ascii="宋体" w:hAnsi="宋体" w:cs="宋体"/>
                      <w:sz w:val="21"/>
                      <w:szCs w:val="21"/>
                    </w:rPr>
                  </w:pPr>
                  <w:r>
                    <w:rPr>
                      <w:rFonts w:hint="eastAsia" w:ascii="宋体" w:hAnsi="宋体" w:cs="宋体"/>
                      <w:sz w:val="21"/>
                      <w:szCs w:val="21"/>
                    </w:rPr>
                    <w:t>检出限</w:t>
                  </w:r>
                </w:p>
              </w:tc>
              <w:tc>
                <w:tcPr>
                  <w:tcW w:w="885" w:type="dxa"/>
                  <w:tcBorders>
                    <w:tl2br w:val="nil"/>
                    <w:tr2bl w:val="nil"/>
                  </w:tcBorders>
                  <w:noWrap w:val="0"/>
                  <w:vAlign w:val="center"/>
                </w:tcPr>
                <w:p>
                  <w:pPr>
                    <w:spacing w:line="24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限值</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是否</w:t>
                  </w:r>
                </w:p>
                <w:p>
                  <w:pPr>
                    <w:spacing w:line="24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trPr>
              <w:tc>
                <w:tcPr>
                  <w:tcW w:w="8076" w:type="dxa"/>
                  <w:gridSpan w:val="9"/>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2022年04月17日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Q22040558-01</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Q22040558-02</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Q22040558-03</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0.178</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0.182</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下风向1#</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Q22040558-05</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Q22040558-06</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Q22040558-07</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0.218</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0.200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0.202</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下风向2#</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Q22040558-09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Q22040558-11</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0.198</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0.220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0.202</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Q22040558-14</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Q22040558-15</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0.198</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0.182</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00" w:hRule="atLeast"/>
              </w:trPr>
              <w:tc>
                <w:tcPr>
                  <w:tcW w:w="8076" w:type="dxa"/>
                  <w:gridSpan w:val="9"/>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2022年04月18日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上风向</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Q22040558-17</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Q22040558-18</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Q22040558-19</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0.159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0.183</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下风向1#</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Q22040558-21</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Q22040558-22</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Q22040558-23</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0.160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0.203</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下风向2#</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Q22040558-25</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Q22040558-26</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Q22040558-27</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0.183</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05" w:hRule="atLeast"/>
              </w:trPr>
              <w:tc>
                <w:tcPr>
                  <w:tcW w:w="1802" w:type="dxa"/>
                  <w:gridSpan w:val="3"/>
                  <w:tcBorders>
                    <w:tl2br w:val="nil"/>
                    <w:tr2bl w:val="nil"/>
                  </w:tcBorders>
                  <w:noWrap w:val="0"/>
                  <w:vAlign w:val="center"/>
                </w:tcPr>
                <w:p>
                  <w:pPr>
                    <w:spacing w:line="240" w:lineRule="exact"/>
                    <w:ind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下风向3#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Q22040558-29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Q22040558-30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sz w:val="21"/>
                      <w:szCs w:val="21"/>
                      <w:lang w:val="en-US" w:eastAsia="zh-CN"/>
                    </w:rPr>
                  </w:pPr>
                  <w:r>
                    <w:rPr>
                      <w:rFonts w:hint="eastAsia" w:ascii="宋体" w:hAnsi="宋体" w:eastAsia="宋体"/>
                      <w:color w:val="000000"/>
                      <w:sz w:val="21"/>
                      <w:szCs w:val="21"/>
                      <w:lang w:val="en-US" w:eastAsia="zh-CN"/>
                    </w:rPr>
                    <w:t>Q22040558-31</w:t>
                  </w:r>
                </w:p>
              </w:tc>
              <w:tc>
                <w:tcPr>
                  <w:tcW w:w="885" w:type="dxa"/>
                  <w:tcBorders>
                    <w:tl2br w:val="nil"/>
                    <w:tr2bl w:val="nil"/>
                  </w:tcBorders>
                  <w:noWrap w:val="0"/>
                  <w:vAlign w:val="center"/>
                </w:tcPr>
                <w:p>
                  <w:pPr>
                    <w:spacing w:line="24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c>
                <w:tcPr>
                  <w:tcW w:w="885" w:type="dxa"/>
                  <w:tcBorders>
                    <w:tl2br w:val="nil"/>
                    <w:tr2bl w:val="nil"/>
                  </w:tcBorders>
                  <w:noWrap w:val="0"/>
                  <w:vAlign w:val="center"/>
                </w:tcPr>
                <w:p>
                  <w:pPr>
                    <w:spacing w:line="24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77" w:hRule="atLeast"/>
              </w:trPr>
              <w:tc>
                <w:tcPr>
                  <w:tcW w:w="1056" w:type="dxa"/>
                  <w:tcBorders>
                    <w:tl2br w:val="nil"/>
                    <w:tr2bl w:val="nil"/>
                  </w:tcBorders>
                  <w:noWrap w:val="0"/>
                  <w:vAlign w:val="center"/>
                </w:tcPr>
                <w:p>
                  <w:pPr>
                    <w:spacing w:line="240" w:lineRule="exact"/>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颗粒物</w:t>
                  </w:r>
                </w:p>
              </w:tc>
              <w:tc>
                <w:tcPr>
                  <w:tcW w:w="746" w:type="dxa"/>
                  <w:gridSpan w:val="2"/>
                  <w:tcBorders>
                    <w:tl2br w:val="nil"/>
                    <w:tr2bl w:val="nil"/>
                  </w:tcBorders>
                  <w:noWrap w:val="0"/>
                  <w:vAlign w:val="center"/>
                </w:tcPr>
                <w:p>
                  <w:pPr>
                    <w:spacing w:line="240" w:lineRule="exact"/>
                    <w:ind w:firstLine="0" w:firstLineChars="0"/>
                    <w:jc w:val="center"/>
                    <w:rPr>
                      <w:rFonts w:hint="eastAsia" w:ascii="宋体" w:hAnsi="宋体" w:cs="宋体"/>
                      <w:kern w:val="2"/>
                      <w:sz w:val="21"/>
                      <w:szCs w:val="21"/>
                      <w:lang w:val="en-US" w:eastAsia="zh-CN" w:bidi="ar-SA"/>
                    </w:rPr>
                  </w:pPr>
                  <w:r>
                    <w:rPr>
                      <w:rFonts w:hint="eastAsia" w:ascii="宋体" w:hAnsi="宋体" w:cs="宋体"/>
                      <w:sz w:val="21"/>
                      <w:szCs w:val="21"/>
                    </w:rPr>
                    <w:t>mg/m</w:t>
                  </w:r>
                  <w:r>
                    <w:rPr>
                      <w:rFonts w:hint="eastAsia" w:ascii="宋体" w:hAnsi="宋体" w:cs="宋体"/>
                      <w:sz w:val="21"/>
                      <w:szCs w:val="21"/>
                      <w:vertAlign w:val="superscript"/>
                    </w:rPr>
                    <w:t>3</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0.179</w:t>
                  </w:r>
                </w:p>
              </w:tc>
              <w:tc>
                <w:tcPr>
                  <w:tcW w:w="1205"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0.200</w:t>
                  </w:r>
                </w:p>
              </w:tc>
              <w:tc>
                <w:tcPr>
                  <w:tcW w:w="1209" w:type="dxa"/>
                  <w:tcBorders>
                    <w:tl2br w:val="nil"/>
                    <w:tr2bl w:val="nil"/>
                  </w:tcBorders>
                  <w:noWrap w:val="0"/>
                  <w:vAlign w:val="center"/>
                </w:tcPr>
                <w:p>
                  <w:pPr>
                    <w:spacing w:line="240" w:lineRule="exact"/>
                    <w:ind w:firstLine="0" w:firstLineChars="0"/>
                    <w:jc w:val="center"/>
                    <w:rPr>
                      <w:rFonts w:hint="default" w:ascii="宋体" w:hAnsi="宋体" w:eastAsia="宋体"/>
                      <w:color w:val="000000"/>
                      <w:kern w:val="2"/>
                      <w:sz w:val="21"/>
                      <w:szCs w:val="21"/>
                      <w:lang w:val="en-US" w:eastAsia="zh-CN" w:bidi="ar-SA"/>
                    </w:rPr>
                  </w:pPr>
                  <w:r>
                    <w:rPr>
                      <w:rFonts w:hint="eastAsia" w:ascii="宋体" w:hAnsi="宋体" w:eastAsia="宋体"/>
                      <w:color w:val="000000"/>
                      <w:kern w:val="2"/>
                      <w:sz w:val="21"/>
                      <w:szCs w:val="21"/>
                      <w:lang w:val="en-US" w:eastAsia="zh-CN" w:bidi="ar-SA"/>
                    </w:rPr>
                    <w:t>0.183</w:t>
                  </w:r>
                </w:p>
              </w:tc>
              <w:tc>
                <w:tcPr>
                  <w:tcW w:w="885" w:type="dxa"/>
                  <w:tcBorders>
                    <w:tl2br w:val="nil"/>
                    <w:tr2bl w:val="nil"/>
                  </w:tcBorders>
                  <w:noWrap w:val="0"/>
                  <w:vAlign w:val="center"/>
                </w:tcPr>
                <w:p>
                  <w:pPr>
                    <w:spacing w:line="240" w:lineRule="exact"/>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0.001</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w:t>
                  </w:r>
                </w:p>
              </w:tc>
              <w:tc>
                <w:tcPr>
                  <w:tcW w:w="885" w:type="dxa"/>
                  <w:tcBorders>
                    <w:tl2br w:val="nil"/>
                    <w:tr2bl w:val="nil"/>
                  </w:tcBorders>
                  <w:noWrap w:val="0"/>
                  <w:vAlign w:val="center"/>
                </w:tcPr>
                <w:p>
                  <w:pPr>
                    <w:spacing w:line="240" w:lineRule="exact"/>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达标</w:t>
                  </w:r>
                </w:p>
              </w:tc>
            </w:tr>
          </w:tbl>
          <w:p>
            <w:pPr>
              <w:widowControl w:val="0"/>
              <w:rPr>
                <w:rFonts w:hint="default"/>
                <w:lang w:val="en-US" w:eastAsia="zh-CN"/>
              </w:rPr>
            </w:pPr>
          </w:p>
          <w:p>
            <w:pPr>
              <w:widowControl w:val="0"/>
              <w:bidi w:val="0"/>
              <w:ind w:firstLine="480" w:firstLineChars="200"/>
              <w:rPr>
                <w:rFonts w:hint="default"/>
                <w:lang w:val="en-US" w:eastAsia="zh-CN"/>
              </w:rPr>
            </w:pPr>
            <w:r>
              <w:rPr>
                <w:rFonts w:hint="eastAsia"/>
                <w:lang w:val="en-US" w:eastAsia="zh-CN"/>
              </w:rPr>
              <w:t>由监测结果可知，本项目厂界无组织颗粒物最大值0.220</w:t>
            </w:r>
            <w:r>
              <w:rPr>
                <w:rFonts w:hint="eastAsia"/>
              </w:rPr>
              <w:t>mg/m</w:t>
            </w:r>
            <w:r>
              <w:rPr>
                <w:rFonts w:hint="eastAsia"/>
                <w:vertAlign w:val="superscript"/>
              </w:rPr>
              <w:t>3</w:t>
            </w:r>
            <w:r>
              <w:rPr>
                <w:rFonts w:hint="eastAsia"/>
                <w:lang w:val="en-US" w:eastAsia="zh-CN"/>
              </w:rPr>
              <w:t>，满足</w:t>
            </w:r>
            <w:r>
              <w:t>《大气污染物排放标准》（GB16297-1996）无组织颗粒物</w:t>
            </w:r>
            <w:r>
              <w:rPr>
                <w:rFonts w:hint="eastAsia"/>
                <w:lang w:val="en-US" w:eastAsia="zh-CN"/>
              </w:rPr>
              <w:t>排放</w:t>
            </w:r>
            <w:r>
              <w:t>浓度限值</w:t>
            </w:r>
            <w:r>
              <w:rPr>
                <w:rFonts w:hint="eastAsia"/>
                <w:lang w:eastAsia="zh-CN"/>
              </w:rPr>
              <w:t>（</w:t>
            </w:r>
            <w:r>
              <w:t>1.0mg/m</w:t>
            </w:r>
            <w:r>
              <w:rPr>
                <w:vertAlign w:val="superscript"/>
              </w:rPr>
              <w:t>3</w:t>
            </w:r>
            <w:r>
              <w:rPr>
                <w:rFonts w:hint="eastAsia"/>
                <w:lang w:eastAsia="zh-CN"/>
              </w:rPr>
              <w:t>）</w:t>
            </w:r>
            <w:r>
              <w:rPr>
                <w:rFonts w:hint="eastAsia"/>
                <w:lang w:val="en-US" w:eastAsia="zh-CN"/>
              </w:rPr>
              <w:t>要求。</w:t>
            </w:r>
          </w:p>
          <w:p>
            <w:pPr>
              <w:pStyle w:val="7"/>
              <w:widowControl w:val="0"/>
              <w:bidi w:val="0"/>
              <w:rPr>
                <w:rFonts w:hint="eastAsia"/>
                <w:lang w:val="en-US" w:eastAsia="zh-CN"/>
              </w:rPr>
            </w:pPr>
            <w:bookmarkStart w:id="94" w:name="_Toc12000"/>
            <w:bookmarkStart w:id="95" w:name="_Toc13211"/>
            <w:bookmarkStart w:id="96" w:name="_Toc21493"/>
            <w:bookmarkStart w:id="97" w:name="_Toc18940"/>
            <w:bookmarkStart w:id="98" w:name="_Toc343"/>
          </w:p>
          <w:p>
            <w:pPr>
              <w:pStyle w:val="7"/>
              <w:widowControl w:val="0"/>
              <w:bidi w:val="0"/>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bookmarkEnd w:id="94"/>
          <w:bookmarkEnd w:id="95"/>
          <w:bookmarkEnd w:id="96"/>
          <w:bookmarkEnd w:id="97"/>
          <w:bookmarkEnd w:id="98"/>
          <w:p>
            <w:pPr>
              <w:keepNext w:val="0"/>
              <w:keepLines w:val="0"/>
              <w:pageBreakBefore w:val="0"/>
              <w:widowControl w:val="0"/>
              <w:kinsoku/>
              <w:wordWrap/>
              <w:overflowPunct/>
              <w:topLinePunct w:val="0"/>
              <w:autoSpaceDE/>
              <w:autoSpaceDN/>
              <w:bidi w:val="0"/>
              <w:adjustRightInd/>
              <w:snapToGrid/>
              <w:spacing w:before="286" w:beforeLines="100"/>
              <w:textAlignment w:val="auto"/>
              <w:rPr>
                <w:rFonts w:hint="eastAsia"/>
                <w:lang w:val="en-US" w:eastAsia="zh-CN"/>
              </w:rPr>
            </w:pPr>
          </w:p>
        </w:tc>
      </w:tr>
      <w:bookmarkEnd w:id="77"/>
    </w:tbl>
    <w:p>
      <w:pPr>
        <w:rPr>
          <w:rFonts w:hint="eastAsia"/>
          <w:lang w:eastAsia="zh-CN"/>
        </w:rPr>
      </w:pPr>
      <w:bookmarkStart w:id="99" w:name="_Toc3259"/>
    </w:p>
    <w:p>
      <w:pPr>
        <w:bidi w:val="0"/>
        <w:rPr>
          <w:rFonts w:hint="eastAsia"/>
          <w:lang w:eastAsia="zh-CN"/>
        </w:rPr>
        <w:sectPr>
          <w:headerReference r:id="rId12" w:type="default"/>
          <w:footerReference r:id="rId13" w:type="default"/>
          <w:pgSz w:w="11907" w:h="16840"/>
          <w:pgMar w:top="1440" w:right="1800" w:bottom="1440" w:left="1800" w:header="284" w:footer="851" w:gutter="0"/>
          <w:pgBorders>
            <w:top w:val="none" w:sz="0" w:space="0"/>
            <w:left w:val="none" w:sz="0" w:space="0"/>
            <w:bottom w:val="none" w:sz="0" w:space="0"/>
            <w:right w:val="none" w:sz="0" w:space="0"/>
          </w:pgBorders>
          <w:lnNumType w:countBy="0" w:distance="360"/>
          <w:pgNumType w:fmt="decimal"/>
          <w:cols w:space="720" w:num="1"/>
          <w:docGrid w:linePitch="285" w:charSpace="0"/>
        </w:sectPr>
      </w:pPr>
    </w:p>
    <w:p>
      <w:pPr>
        <w:bidi w:val="0"/>
        <w:jc w:val="center"/>
        <w:rPr>
          <w:rFonts w:hint="default"/>
          <w:b/>
          <w:bCs/>
          <w:lang w:val="en-US" w:eastAsia="zh-CN"/>
        </w:rPr>
      </w:pPr>
      <w:r>
        <w:rPr>
          <w:rFonts w:hint="eastAsia"/>
          <w:b/>
          <w:bCs/>
          <w:lang w:val="en-US" w:eastAsia="zh-CN"/>
        </w:rPr>
        <w:t>表5-6   污水监测结果</w:t>
      </w:r>
    </w:p>
    <w:tbl>
      <w:tblPr>
        <w:tblStyle w:val="23"/>
        <w:tblW w:w="13923"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67"/>
        <w:gridCol w:w="1158"/>
        <w:gridCol w:w="932"/>
        <w:gridCol w:w="1059"/>
        <w:gridCol w:w="1128"/>
        <w:gridCol w:w="927"/>
        <w:gridCol w:w="931"/>
        <w:gridCol w:w="927"/>
        <w:gridCol w:w="927"/>
        <w:gridCol w:w="927"/>
        <w:gridCol w:w="939"/>
        <w:gridCol w:w="1167"/>
        <w:gridCol w:w="1167"/>
        <w:gridCol w:w="116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vMerge w:val="restart"/>
            <w:tcBorders>
              <w:tl2br w:val="nil"/>
              <w:tr2bl w:val="nil"/>
            </w:tcBorders>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序号</w:t>
            </w:r>
          </w:p>
        </w:tc>
        <w:tc>
          <w:tcPr>
            <w:tcW w:w="1158" w:type="dxa"/>
            <w:vMerge w:val="restart"/>
            <w:tcBorders>
              <w:tl2br w:val="nil"/>
              <w:tr2bl w:val="nil"/>
            </w:tcBorders>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检 测 项 目</w:t>
            </w:r>
          </w:p>
        </w:tc>
        <w:tc>
          <w:tcPr>
            <w:tcW w:w="932" w:type="dxa"/>
            <w:vMerge w:val="restart"/>
            <w:tcBorders>
              <w:tl2br w:val="nil"/>
              <w:tr2bl w:val="nil"/>
            </w:tcBorders>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单位</w:t>
            </w:r>
          </w:p>
        </w:tc>
        <w:tc>
          <w:tcPr>
            <w:tcW w:w="7765" w:type="dxa"/>
            <w:gridSpan w:val="8"/>
            <w:tcBorders>
              <w:tl2br w:val="nil"/>
              <w:tr2bl w:val="nil"/>
            </w:tcBorders>
            <w:noWrap w:val="0"/>
            <w:vAlign w:val="center"/>
          </w:tcPr>
          <w:p>
            <w:pPr>
              <w:spacing w:line="360" w:lineRule="auto"/>
              <w:jc w:val="center"/>
              <w:rPr>
                <w:rFonts w:hint="eastAsia" w:ascii="宋体" w:hAnsi="宋体" w:eastAsia="宋体" w:cs="宋体"/>
                <w:sz w:val="21"/>
                <w:szCs w:val="21"/>
                <w:lang w:eastAsia="zh-CN"/>
              </w:rPr>
            </w:pPr>
            <w:r>
              <w:rPr>
                <w:rFonts w:hint="eastAsia" w:ascii="宋体" w:hAnsi="宋体" w:cs="宋体"/>
                <w:sz w:val="21"/>
                <w:szCs w:val="21"/>
                <w:lang w:eastAsia="zh-CN"/>
              </w:rPr>
              <w:t>样品编号及检测结果</w:t>
            </w:r>
          </w:p>
        </w:tc>
        <w:tc>
          <w:tcPr>
            <w:tcW w:w="1167" w:type="dxa"/>
            <w:vMerge w:val="restart"/>
            <w:tcBorders>
              <w:tl2br w:val="nil"/>
              <w:tr2bl w:val="nil"/>
            </w:tcBorders>
            <w:noWrap w:val="0"/>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cs="宋体"/>
                <w:sz w:val="21"/>
                <w:szCs w:val="21"/>
              </w:rPr>
              <w:t>检出限</w:t>
            </w:r>
          </w:p>
        </w:tc>
        <w:tc>
          <w:tcPr>
            <w:tcW w:w="1167" w:type="dxa"/>
            <w:vMerge w:val="restart"/>
            <w:tcBorders>
              <w:tl2br w:val="nil"/>
              <w:tr2bl w:val="nil"/>
            </w:tcBorders>
            <w:noWrap w:val="0"/>
            <w:vAlign w:val="center"/>
          </w:tcPr>
          <w:p>
            <w:pPr>
              <w:spacing w:line="24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限值</w:t>
            </w:r>
          </w:p>
        </w:tc>
        <w:tc>
          <w:tcPr>
            <w:tcW w:w="1167" w:type="dxa"/>
            <w:vMerge w:val="restart"/>
            <w:tcBorders>
              <w:tl2br w:val="nil"/>
              <w:tr2bl w:val="nil"/>
            </w:tcBorders>
            <w:noWrap w:val="0"/>
            <w:vAlign w:val="center"/>
          </w:tcPr>
          <w:p>
            <w:pPr>
              <w:spacing w:line="24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1158"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932"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4045" w:type="dxa"/>
            <w:gridSpan w:val="4"/>
            <w:tcBorders>
              <w:tl2br w:val="nil"/>
              <w:tr2bl w:val="nil"/>
            </w:tcBorders>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2022年04月17日</w:t>
            </w:r>
          </w:p>
        </w:tc>
        <w:tc>
          <w:tcPr>
            <w:tcW w:w="3720" w:type="dxa"/>
            <w:gridSpan w:val="4"/>
            <w:tcBorders>
              <w:tl2br w:val="nil"/>
              <w:tr2bl w:val="nil"/>
            </w:tcBorders>
            <w:noWrap w:val="0"/>
            <w:vAlign w:val="center"/>
          </w:tcPr>
          <w:p>
            <w:pPr>
              <w:spacing w:line="360" w:lineRule="auto"/>
              <w:jc w:val="center"/>
              <w:rPr>
                <w:rFonts w:hint="eastAsia" w:ascii="宋体" w:hAnsi="宋体" w:cs="宋体"/>
                <w:sz w:val="21"/>
                <w:szCs w:val="21"/>
                <w:lang w:eastAsia="zh-CN"/>
              </w:rPr>
            </w:pPr>
            <w:r>
              <w:rPr>
                <w:rFonts w:hint="eastAsia" w:ascii="宋体" w:hAnsi="宋体" w:cs="宋体"/>
                <w:sz w:val="21"/>
                <w:szCs w:val="21"/>
                <w:lang w:val="en-US" w:eastAsia="zh-CN"/>
              </w:rPr>
              <w:t>2022年04月18日</w:t>
            </w:r>
          </w:p>
        </w:tc>
        <w:tc>
          <w:tcPr>
            <w:tcW w:w="1167" w:type="dxa"/>
            <w:vMerge w:val="continue"/>
            <w:tcBorders>
              <w:tl2br w:val="nil"/>
              <w:tr2bl w:val="nil"/>
            </w:tcBorders>
            <w:noWrap w:val="0"/>
            <w:vAlign w:val="center"/>
          </w:tcPr>
          <w:p>
            <w:pPr>
              <w:spacing w:line="240" w:lineRule="auto"/>
              <w:jc w:val="center"/>
              <w:rPr>
                <w:rFonts w:hint="eastAsia" w:ascii="宋体" w:hAnsi="宋体" w:cs="宋体"/>
                <w:sz w:val="21"/>
                <w:szCs w:val="21"/>
              </w:rPr>
            </w:pPr>
          </w:p>
        </w:tc>
        <w:tc>
          <w:tcPr>
            <w:tcW w:w="1167" w:type="dxa"/>
            <w:vMerge w:val="continue"/>
            <w:tcBorders>
              <w:tl2br w:val="nil"/>
              <w:tr2bl w:val="nil"/>
            </w:tcBorders>
            <w:noWrap w:val="0"/>
            <w:vAlign w:val="center"/>
          </w:tcPr>
          <w:p>
            <w:pPr>
              <w:spacing w:line="240" w:lineRule="auto"/>
              <w:jc w:val="center"/>
              <w:rPr>
                <w:rFonts w:hint="eastAsia" w:ascii="宋体" w:hAnsi="宋体" w:cs="宋体"/>
                <w:sz w:val="21"/>
                <w:szCs w:val="21"/>
              </w:rPr>
            </w:pPr>
          </w:p>
        </w:tc>
        <w:tc>
          <w:tcPr>
            <w:tcW w:w="1167" w:type="dxa"/>
            <w:vMerge w:val="continue"/>
            <w:tcBorders>
              <w:tl2br w:val="nil"/>
              <w:tr2bl w:val="nil"/>
            </w:tcBorders>
            <w:noWrap w:val="0"/>
            <w:vAlign w:val="center"/>
          </w:tcPr>
          <w:p>
            <w:pPr>
              <w:spacing w:line="240" w:lineRule="auto"/>
              <w:jc w:val="center"/>
              <w:rPr>
                <w:rFonts w:hint="eastAsia" w:ascii="宋体" w:hAnsi="宋体" w:cs="宋体"/>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1158"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932"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1059" w:type="dxa"/>
            <w:tcBorders>
              <w:tl2br w:val="nil"/>
              <w:tr2bl w:val="nil"/>
            </w:tcBorders>
            <w:noWrap w:val="0"/>
            <w:vAlign w:val="center"/>
          </w:tcPr>
          <w:p>
            <w:pPr>
              <w:spacing w:line="240" w:lineRule="auto"/>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WS22040558-01</w:t>
            </w:r>
          </w:p>
        </w:tc>
        <w:tc>
          <w:tcPr>
            <w:tcW w:w="1128" w:type="dxa"/>
            <w:tcBorders>
              <w:tl2br w:val="nil"/>
              <w:tr2bl w:val="nil"/>
            </w:tcBorders>
            <w:noWrap w:val="0"/>
            <w:vAlign w:val="center"/>
          </w:tcPr>
          <w:p>
            <w:pPr>
              <w:spacing w:line="240" w:lineRule="auto"/>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WS22040558-02</w:t>
            </w:r>
          </w:p>
        </w:tc>
        <w:tc>
          <w:tcPr>
            <w:tcW w:w="927" w:type="dxa"/>
            <w:tcBorders>
              <w:tl2br w:val="nil"/>
              <w:tr2bl w:val="nil"/>
            </w:tcBorders>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18"/>
                <w:szCs w:val="18"/>
                <w:lang w:val="en-US" w:eastAsia="zh-CN"/>
              </w:rPr>
              <w:t>WS22040558-03</w:t>
            </w:r>
          </w:p>
        </w:tc>
        <w:tc>
          <w:tcPr>
            <w:tcW w:w="931" w:type="dxa"/>
            <w:tcBorders>
              <w:tl2br w:val="nil"/>
              <w:tr2bl w:val="nil"/>
            </w:tcBorders>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18"/>
                <w:szCs w:val="18"/>
                <w:lang w:val="en-US" w:eastAsia="zh-CN"/>
              </w:rPr>
              <w:t>WS22040558-04</w:t>
            </w:r>
          </w:p>
        </w:tc>
        <w:tc>
          <w:tcPr>
            <w:tcW w:w="927" w:type="dxa"/>
            <w:tcBorders>
              <w:tl2br w:val="nil"/>
              <w:tr2bl w:val="nil"/>
            </w:tcBorders>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18"/>
                <w:szCs w:val="18"/>
                <w:lang w:val="en-US" w:eastAsia="zh-CN"/>
              </w:rPr>
              <w:t>WS22040558-05</w:t>
            </w:r>
          </w:p>
        </w:tc>
        <w:tc>
          <w:tcPr>
            <w:tcW w:w="927" w:type="dxa"/>
            <w:tcBorders>
              <w:tl2br w:val="nil"/>
              <w:tr2bl w:val="nil"/>
            </w:tcBorders>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18"/>
                <w:szCs w:val="18"/>
                <w:lang w:val="en-US" w:eastAsia="zh-CN"/>
              </w:rPr>
              <w:t>WS22040558-06</w:t>
            </w:r>
          </w:p>
        </w:tc>
        <w:tc>
          <w:tcPr>
            <w:tcW w:w="927" w:type="dxa"/>
            <w:tcBorders>
              <w:tl2br w:val="nil"/>
              <w:tr2bl w:val="nil"/>
            </w:tcBorders>
            <w:noWrap w:val="0"/>
            <w:vAlign w:val="center"/>
          </w:tcPr>
          <w:p>
            <w:pPr>
              <w:spacing w:line="240" w:lineRule="auto"/>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WS22040558-07</w:t>
            </w:r>
          </w:p>
        </w:tc>
        <w:tc>
          <w:tcPr>
            <w:tcW w:w="939" w:type="dxa"/>
            <w:tcBorders>
              <w:tl2br w:val="nil"/>
              <w:tr2bl w:val="nil"/>
            </w:tcBorders>
            <w:noWrap w:val="0"/>
            <w:vAlign w:val="center"/>
          </w:tcPr>
          <w:p>
            <w:pPr>
              <w:spacing w:line="240" w:lineRule="auto"/>
              <w:jc w:val="center"/>
              <w:rPr>
                <w:rFonts w:hint="default"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WS22040558-08</w:t>
            </w:r>
          </w:p>
        </w:tc>
        <w:tc>
          <w:tcPr>
            <w:tcW w:w="1167"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c>
          <w:tcPr>
            <w:tcW w:w="1167" w:type="dxa"/>
            <w:vMerge w:val="continue"/>
            <w:tcBorders>
              <w:tl2br w:val="nil"/>
              <w:tr2bl w:val="nil"/>
            </w:tcBorders>
            <w:noWrap w:val="0"/>
            <w:vAlign w:val="center"/>
          </w:tcPr>
          <w:p>
            <w:pPr>
              <w:spacing w:line="360" w:lineRule="auto"/>
              <w:jc w:val="center"/>
              <w:rPr>
                <w:rFonts w:hint="default" w:ascii="宋体" w:hAnsi="宋体" w:cs="宋体"/>
                <w:sz w:val="21"/>
                <w:szCs w:val="21"/>
                <w:lang w:val="en-US"/>
              </w:rPr>
            </w:pPr>
          </w:p>
        </w:tc>
        <w:tc>
          <w:tcPr>
            <w:tcW w:w="1167" w:type="dxa"/>
            <w:vMerge w:val="continue"/>
            <w:tcBorders>
              <w:tl2br w:val="nil"/>
              <w:tr2bl w:val="nil"/>
            </w:tcBorders>
            <w:noWrap w:val="0"/>
            <w:vAlign w:val="center"/>
          </w:tcPr>
          <w:p>
            <w:pPr>
              <w:spacing w:line="360" w:lineRule="auto"/>
              <w:jc w:val="center"/>
              <w:rPr>
                <w:rFonts w:hint="eastAsia" w:ascii="宋体" w:hAnsi="宋体" w:cs="宋体"/>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1</w:t>
            </w:r>
          </w:p>
        </w:tc>
        <w:tc>
          <w:tcPr>
            <w:tcW w:w="1158"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悬浮物</w:t>
            </w:r>
          </w:p>
        </w:tc>
        <w:tc>
          <w:tcPr>
            <w:tcW w:w="932"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mg/L</w:t>
            </w:r>
          </w:p>
        </w:tc>
        <w:tc>
          <w:tcPr>
            <w:tcW w:w="105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54</w:t>
            </w:r>
          </w:p>
        </w:tc>
        <w:tc>
          <w:tcPr>
            <w:tcW w:w="1128"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57</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56</w:t>
            </w:r>
          </w:p>
        </w:tc>
        <w:tc>
          <w:tcPr>
            <w:tcW w:w="931"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57</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54</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55</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54</w:t>
            </w:r>
          </w:p>
        </w:tc>
        <w:tc>
          <w:tcPr>
            <w:tcW w:w="93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56</w:t>
            </w:r>
          </w:p>
        </w:tc>
        <w:tc>
          <w:tcPr>
            <w:tcW w:w="1167" w:type="dxa"/>
            <w:tcBorders>
              <w:tl2br w:val="nil"/>
              <w:tr2bl w:val="nil"/>
            </w:tcBorders>
            <w:noWrap w:val="0"/>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w:t>
            </w:r>
          </w:p>
        </w:tc>
        <w:tc>
          <w:tcPr>
            <w:tcW w:w="1167" w:type="dxa"/>
            <w:tcBorders>
              <w:tl2br w:val="nil"/>
              <w:tr2bl w:val="nil"/>
            </w:tcBorders>
            <w:noWrap w:val="0"/>
            <w:vAlign w:val="center"/>
          </w:tcPr>
          <w:p>
            <w:pPr>
              <w:spacing w:line="360" w:lineRule="auto"/>
              <w:jc w:val="center"/>
              <w:rPr>
                <w:rFonts w:hint="eastAsia" w:ascii="宋体" w:hAnsi="宋体" w:cs="宋体"/>
                <w:sz w:val="21"/>
                <w:szCs w:val="21"/>
                <w:lang w:val="en-US" w:eastAsia="zh-CN"/>
              </w:rPr>
            </w:pPr>
          </w:p>
        </w:tc>
        <w:tc>
          <w:tcPr>
            <w:tcW w:w="1167" w:type="dxa"/>
            <w:tcBorders>
              <w:tl2br w:val="nil"/>
              <w:tr2bl w:val="nil"/>
            </w:tcBorders>
            <w:noWrap w:val="0"/>
            <w:vAlign w:val="center"/>
          </w:tcPr>
          <w:p>
            <w:pPr>
              <w:spacing w:line="360" w:lineRule="auto"/>
              <w:jc w:val="center"/>
              <w:rPr>
                <w:rFonts w:hint="eastAsia" w:ascii="宋体" w:hAnsi="宋体" w:cs="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2</w:t>
            </w:r>
          </w:p>
        </w:tc>
        <w:tc>
          <w:tcPr>
            <w:tcW w:w="1158" w:type="dxa"/>
            <w:tcBorders>
              <w:tl2br w:val="nil"/>
              <w:tr2bl w:val="nil"/>
            </w:tcBorders>
            <w:noWrap w:val="0"/>
            <w:vAlign w:val="center"/>
          </w:tcPr>
          <w:p>
            <w:pPr>
              <w:spacing w:line="360" w:lineRule="auto"/>
              <w:jc w:val="center"/>
              <w:rPr>
                <w:rFonts w:hint="eastAsia" w:ascii="宋体" w:hAnsi="宋体" w:eastAsia="宋体"/>
                <w:b w:val="0"/>
                <w:bCs w:val="0"/>
                <w:kern w:val="2"/>
                <w:sz w:val="21"/>
                <w:szCs w:val="21"/>
                <w:vertAlign w:val="subscript"/>
                <w:lang w:val="en-US" w:eastAsia="zh-CN" w:bidi="ar-SA"/>
              </w:rPr>
            </w:pPr>
            <w:r>
              <w:rPr>
                <w:rFonts w:hint="eastAsia" w:ascii="宋体" w:hAnsi="宋体"/>
                <w:b w:val="0"/>
                <w:bCs w:val="0"/>
                <w:sz w:val="21"/>
                <w:szCs w:val="21"/>
                <w:lang w:val="en-US" w:eastAsia="zh-CN"/>
              </w:rPr>
              <w:t>COD</w:t>
            </w:r>
            <w:r>
              <w:rPr>
                <w:rFonts w:hint="eastAsia" w:ascii="宋体" w:hAnsi="宋体"/>
                <w:b w:val="0"/>
                <w:bCs w:val="0"/>
                <w:sz w:val="21"/>
                <w:szCs w:val="21"/>
                <w:vertAlign w:val="subscript"/>
                <w:lang w:val="en-US" w:eastAsia="zh-CN"/>
              </w:rPr>
              <w:t>Cr</w:t>
            </w:r>
          </w:p>
        </w:tc>
        <w:tc>
          <w:tcPr>
            <w:tcW w:w="932"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mg/L</w:t>
            </w:r>
          </w:p>
        </w:tc>
        <w:tc>
          <w:tcPr>
            <w:tcW w:w="105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294</w:t>
            </w:r>
          </w:p>
        </w:tc>
        <w:tc>
          <w:tcPr>
            <w:tcW w:w="1128"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286</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280</w:t>
            </w:r>
          </w:p>
        </w:tc>
        <w:tc>
          <w:tcPr>
            <w:tcW w:w="931"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292</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279</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294</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288</w:t>
            </w:r>
          </w:p>
        </w:tc>
        <w:tc>
          <w:tcPr>
            <w:tcW w:w="93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280</w:t>
            </w:r>
          </w:p>
        </w:tc>
        <w:tc>
          <w:tcPr>
            <w:tcW w:w="1167" w:type="dxa"/>
            <w:tcBorders>
              <w:tl2br w:val="nil"/>
              <w:tr2bl w:val="nil"/>
            </w:tcBorders>
            <w:noWrap w:val="0"/>
            <w:vAlign w:val="center"/>
          </w:tcPr>
          <w:p>
            <w:pPr>
              <w:spacing w:line="360" w:lineRule="auto"/>
              <w:jc w:val="center"/>
              <w:rPr>
                <w:rFonts w:hint="default" w:ascii="宋体" w:hAnsi="宋体" w:cs="宋体"/>
                <w:kern w:val="2"/>
                <w:sz w:val="21"/>
                <w:szCs w:val="21"/>
                <w:lang w:val="en-US" w:eastAsia="zh-CN" w:bidi="ar-SA"/>
              </w:rPr>
            </w:pPr>
            <w:r>
              <w:rPr>
                <w:rFonts w:hint="eastAsia" w:ascii="宋体" w:hAnsi="宋体" w:cs="宋体"/>
                <w:sz w:val="21"/>
                <w:szCs w:val="21"/>
              </w:rPr>
              <w:t>4</w:t>
            </w:r>
          </w:p>
        </w:tc>
        <w:tc>
          <w:tcPr>
            <w:tcW w:w="1167" w:type="dxa"/>
            <w:tcBorders>
              <w:tl2br w:val="nil"/>
              <w:tr2bl w:val="nil"/>
            </w:tcBorders>
            <w:noWrap w:val="0"/>
            <w:vAlign w:val="center"/>
          </w:tcPr>
          <w:p>
            <w:pPr>
              <w:spacing w:line="360" w:lineRule="auto"/>
              <w:jc w:val="center"/>
              <w:rPr>
                <w:rFonts w:hint="eastAsia" w:ascii="宋体" w:hAnsi="宋体" w:cs="宋体"/>
                <w:sz w:val="21"/>
                <w:szCs w:val="21"/>
              </w:rPr>
            </w:pPr>
          </w:p>
        </w:tc>
        <w:tc>
          <w:tcPr>
            <w:tcW w:w="1167" w:type="dxa"/>
            <w:tcBorders>
              <w:tl2br w:val="nil"/>
              <w:tr2bl w:val="nil"/>
            </w:tcBorders>
            <w:noWrap w:val="0"/>
            <w:vAlign w:val="center"/>
          </w:tcPr>
          <w:p>
            <w:pPr>
              <w:spacing w:line="360" w:lineRule="auto"/>
              <w:jc w:val="center"/>
              <w:rPr>
                <w:rFonts w:hint="eastAsia" w:ascii="宋体" w:hAnsi="宋体" w:cs="宋体"/>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3</w:t>
            </w:r>
          </w:p>
        </w:tc>
        <w:tc>
          <w:tcPr>
            <w:tcW w:w="1158" w:type="dxa"/>
            <w:tcBorders>
              <w:tl2br w:val="nil"/>
              <w:tr2bl w:val="nil"/>
            </w:tcBorders>
            <w:noWrap w:val="0"/>
            <w:vAlign w:val="center"/>
          </w:tcPr>
          <w:p>
            <w:pPr>
              <w:spacing w:line="360" w:lineRule="auto"/>
              <w:jc w:val="center"/>
              <w:rPr>
                <w:rFonts w:hint="default" w:ascii="宋体" w:hAnsi="宋体" w:eastAsia="宋体"/>
                <w:b w:val="0"/>
                <w:bCs w:val="0"/>
                <w:kern w:val="2"/>
                <w:sz w:val="21"/>
                <w:szCs w:val="21"/>
                <w:vertAlign w:val="subscript"/>
                <w:lang w:val="en-US" w:eastAsia="zh-CN" w:bidi="ar-SA"/>
              </w:rPr>
            </w:pPr>
            <w:r>
              <w:rPr>
                <w:rFonts w:hint="eastAsia" w:ascii="宋体" w:hAnsi="宋体"/>
                <w:b w:val="0"/>
                <w:bCs w:val="0"/>
                <w:sz w:val="21"/>
                <w:szCs w:val="21"/>
                <w:lang w:val="en-US" w:eastAsia="zh-CN"/>
              </w:rPr>
              <w:t>BOD</w:t>
            </w:r>
            <w:r>
              <w:rPr>
                <w:rFonts w:hint="eastAsia" w:ascii="宋体" w:hAnsi="宋体"/>
                <w:b w:val="0"/>
                <w:bCs w:val="0"/>
                <w:sz w:val="21"/>
                <w:szCs w:val="21"/>
                <w:vertAlign w:val="subscript"/>
                <w:lang w:val="en-US" w:eastAsia="zh-CN"/>
              </w:rPr>
              <w:t>5</w:t>
            </w:r>
          </w:p>
        </w:tc>
        <w:tc>
          <w:tcPr>
            <w:tcW w:w="932"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mg/L</w:t>
            </w:r>
          </w:p>
        </w:tc>
        <w:tc>
          <w:tcPr>
            <w:tcW w:w="105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79.3</w:t>
            </w:r>
          </w:p>
        </w:tc>
        <w:tc>
          <w:tcPr>
            <w:tcW w:w="1128"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76.1</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80.7</w:t>
            </w:r>
          </w:p>
        </w:tc>
        <w:tc>
          <w:tcPr>
            <w:tcW w:w="931"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73.6</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70.8</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76.2</w:t>
            </w:r>
          </w:p>
        </w:tc>
        <w:tc>
          <w:tcPr>
            <w:tcW w:w="927"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75.4</w:t>
            </w:r>
          </w:p>
        </w:tc>
        <w:tc>
          <w:tcPr>
            <w:tcW w:w="939" w:type="dxa"/>
            <w:tcBorders>
              <w:tl2br w:val="nil"/>
              <w:tr2bl w:val="nil"/>
            </w:tcBorders>
            <w:noWrap w:val="0"/>
            <w:vAlign w:val="center"/>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79.2</w:t>
            </w:r>
          </w:p>
        </w:tc>
        <w:tc>
          <w:tcPr>
            <w:tcW w:w="1167" w:type="dxa"/>
            <w:tcBorders>
              <w:tl2br w:val="nil"/>
              <w:tr2bl w:val="nil"/>
            </w:tcBorders>
            <w:noWrap w:val="0"/>
            <w:vAlign w:val="center"/>
          </w:tcPr>
          <w:p>
            <w:pPr>
              <w:spacing w:line="360" w:lineRule="auto"/>
              <w:jc w:val="center"/>
              <w:rPr>
                <w:rFonts w:hint="default" w:ascii="宋体" w:hAnsi="宋体" w:cs="宋体"/>
                <w:kern w:val="2"/>
                <w:sz w:val="21"/>
                <w:szCs w:val="21"/>
                <w:lang w:val="en-US" w:eastAsia="zh-CN" w:bidi="ar-SA"/>
              </w:rPr>
            </w:pPr>
            <w:r>
              <w:rPr>
                <w:rFonts w:hint="eastAsia" w:ascii="宋体" w:hAnsi="宋体" w:cs="宋体"/>
                <w:sz w:val="21"/>
                <w:szCs w:val="21"/>
              </w:rPr>
              <w:t>0.5</w:t>
            </w:r>
          </w:p>
        </w:tc>
        <w:tc>
          <w:tcPr>
            <w:tcW w:w="1167" w:type="dxa"/>
            <w:tcBorders>
              <w:tl2br w:val="nil"/>
              <w:tr2bl w:val="nil"/>
            </w:tcBorders>
            <w:noWrap w:val="0"/>
            <w:vAlign w:val="center"/>
          </w:tcPr>
          <w:p>
            <w:pPr>
              <w:spacing w:line="360" w:lineRule="auto"/>
              <w:jc w:val="center"/>
              <w:rPr>
                <w:rFonts w:hint="eastAsia" w:ascii="宋体" w:hAnsi="宋体" w:cs="宋体"/>
                <w:sz w:val="21"/>
                <w:szCs w:val="21"/>
              </w:rPr>
            </w:pPr>
          </w:p>
        </w:tc>
        <w:tc>
          <w:tcPr>
            <w:tcW w:w="1167" w:type="dxa"/>
            <w:tcBorders>
              <w:tl2br w:val="nil"/>
              <w:tr2bl w:val="nil"/>
            </w:tcBorders>
            <w:noWrap w:val="0"/>
            <w:vAlign w:val="center"/>
          </w:tcPr>
          <w:p>
            <w:pPr>
              <w:spacing w:line="360" w:lineRule="auto"/>
              <w:jc w:val="center"/>
              <w:rPr>
                <w:rFonts w:hint="eastAsia" w:ascii="宋体" w:hAnsi="宋体" w:cs="宋体"/>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5" w:hRule="atLeast"/>
        </w:trPr>
        <w:tc>
          <w:tcPr>
            <w:tcW w:w="567"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4</w:t>
            </w:r>
          </w:p>
        </w:tc>
        <w:tc>
          <w:tcPr>
            <w:tcW w:w="1158" w:type="dxa"/>
            <w:tcBorders>
              <w:tl2br w:val="nil"/>
              <w:tr2bl w:val="nil"/>
            </w:tcBorders>
            <w:noWrap w:val="0"/>
            <w:vAlign w:val="center"/>
          </w:tcPr>
          <w:p>
            <w:pPr>
              <w:spacing w:line="360" w:lineRule="auto"/>
              <w:jc w:val="center"/>
              <w:rPr>
                <w:rFonts w:hint="default" w:ascii="宋体" w:hAnsi="宋体"/>
                <w:b w:val="0"/>
                <w:bCs w:val="0"/>
                <w:kern w:val="2"/>
                <w:sz w:val="21"/>
                <w:szCs w:val="21"/>
                <w:lang w:val="en-US" w:eastAsia="zh-CN" w:bidi="ar-SA"/>
              </w:rPr>
            </w:pPr>
            <w:r>
              <w:rPr>
                <w:rFonts w:hint="eastAsia" w:ascii="宋体" w:hAnsi="宋体"/>
                <w:b w:val="0"/>
                <w:bCs w:val="0"/>
                <w:sz w:val="21"/>
                <w:szCs w:val="21"/>
              </w:rPr>
              <w:t>氨氮</w:t>
            </w:r>
          </w:p>
        </w:tc>
        <w:tc>
          <w:tcPr>
            <w:tcW w:w="932"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mg/L</w:t>
            </w:r>
          </w:p>
        </w:tc>
        <w:tc>
          <w:tcPr>
            <w:tcW w:w="1059"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66.0</w:t>
            </w:r>
          </w:p>
        </w:tc>
        <w:tc>
          <w:tcPr>
            <w:tcW w:w="1128"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66.8</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65.3</w:t>
            </w:r>
          </w:p>
        </w:tc>
        <w:tc>
          <w:tcPr>
            <w:tcW w:w="931"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65.7</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67.1</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68.6</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67.7</w:t>
            </w:r>
          </w:p>
        </w:tc>
        <w:tc>
          <w:tcPr>
            <w:tcW w:w="939"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68.0</w:t>
            </w:r>
          </w:p>
        </w:tc>
        <w:tc>
          <w:tcPr>
            <w:tcW w:w="1167" w:type="dxa"/>
            <w:tcBorders>
              <w:tl2br w:val="nil"/>
              <w:tr2bl w:val="nil"/>
            </w:tcBorders>
            <w:noWrap w:val="0"/>
            <w:vAlign w:val="center"/>
          </w:tcPr>
          <w:p>
            <w:pPr>
              <w:spacing w:line="360" w:lineRule="auto"/>
              <w:jc w:val="center"/>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0.025</w:t>
            </w:r>
          </w:p>
        </w:tc>
        <w:tc>
          <w:tcPr>
            <w:tcW w:w="1167" w:type="dxa"/>
            <w:tcBorders>
              <w:tl2br w:val="nil"/>
              <w:tr2bl w:val="nil"/>
            </w:tcBorders>
            <w:noWrap w:val="0"/>
            <w:vAlign w:val="center"/>
          </w:tcPr>
          <w:p>
            <w:pPr>
              <w:spacing w:line="360" w:lineRule="auto"/>
              <w:jc w:val="center"/>
              <w:rPr>
                <w:rFonts w:hint="eastAsia" w:ascii="宋体" w:hAnsi="宋体" w:cs="宋体"/>
                <w:kern w:val="2"/>
                <w:sz w:val="21"/>
                <w:szCs w:val="21"/>
                <w:lang w:val="en-US" w:eastAsia="zh-CN" w:bidi="ar-SA"/>
              </w:rPr>
            </w:pPr>
          </w:p>
        </w:tc>
        <w:tc>
          <w:tcPr>
            <w:tcW w:w="1167" w:type="dxa"/>
            <w:tcBorders>
              <w:tl2br w:val="nil"/>
              <w:tr2bl w:val="nil"/>
            </w:tcBorders>
            <w:noWrap w:val="0"/>
            <w:vAlign w:val="center"/>
          </w:tcPr>
          <w:p>
            <w:pPr>
              <w:spacing w:line="360" w:lineRule="auto"/>
              <w:jc w:val="center"/>
              <w:rPr>
                <w:rFonts w:hint="eastAsia" w:ascii="宋体" w:hAnsi="宋体" w:cs="宋体"/>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0" w:hRule="atLeast"/>
        </w:trPr>
        <w:tc>
          <w:tcPr>
            <w:tcW w:w="567"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5</w:t>
            </w:r>
          </w:p>
        </w:tc>
        <w:tc>
          <w:tcPr>
            <w:tcW w:w="1158" w:type="dxa"/>
            <w:tcBorders>
              <w:tl2br w:val="nil"/>
              <w:tr2bl w:val="nil"/>
            </w:tcBorders>
            <w:noWrap w:val="0"/>
            <w:vAlign w:val="center"/>
          </w:tcPr>
          <w:p>
            <w:pPr>
              <w:spacing w:line="360" w:lineRule="auto"/>
              <w:jc w:val="center"/>
              <w:rPr>
                <w:rFonts w:hint="eastAsia" w:ascii="宋体" w:hAnsi="宋体" w:eastAsia="宋体"/>
                <w:b w:val="0"/>
                <w:bCs w:val="0"/>
                <w:kern w:val="2"/>
                <w:sz w:val="21"/>
                <w:szCs w:val="21"/>
                <w:lang w:val="en-US" w:eastAsia="zh-CN" w:bidi="ar-SA"/>
              </w:rPr>
            </w:pPr>
            <w:r>
              <w:rPr>
                <w:rFonts w:hint="eastAsia" w:ascii="宋体" w:hAnsi="宋体"/>
                <w:b w:val="0"/>
                <w:bCs w:val="0"/>
                <w:sz w:val="21"/>
                <w:szCs w:val="21"/>
                <w:lang w:eastAsia="zh-CN"/>
              </w:rPr>
              <w:t>阴离子表面活性剂</w:t>
            </w:r>
          </w:p>
        </w:tc>
        <w:tc>
          <w:tcPr>
            <w:tcW w:w="932" w:type="dxa"/>
            <w:tcBorders>
              <w:tl2br w:val="nil"/>
              <w:tr2bl w:val="nil"/>
            </w:tcBorders>
            <w:noWrap w:val="0"/>
            <w:vAlign w:val="center"/>
          </w:tcPr>
          <w:p>
            <w:pPr>
              <w:spacing w:line="360" w:lineRule="auto"/>
              <w:jc w:val="center"/>
              <w:rPr>
                <w:rFonts w:hint="eastAsia" w:ascii="宋体" w:hAnsi="宋体"/>
                <w:b w:val="0"/>
                <w:bCs w:val="0"/>
                <w:kern w:val="2"/>
                <w:sz w:val="21"/>
                <w:szCs w:val="21"/>
                <w:lang w:val="en-US" w:eastAsia="zh-CN" w:bidi="ar-SA"/>
              </w:rPr>
            </w:pPr>
            <w:r>
              <w:rPr>
                <w:rFonts w:hint="eastAsia" w:ascii="宋体" w:hAnsi="宋体"/>
                <w:b w:val="0"/>
                <w:bCs w:val="0"/>
                <w:sz w:val="21"/>
                <w:szCs w:val="21"/>
              </w:rPr>
              <w:t>mg/L</w:t>
            </w:r>
          </w:p>
        </w:tc>
        <w:tc>
          <w:tcPr>
            <w:tcW w:w="1059"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4.09</w:t>
            </w:r>
          </w:p>
        </w:tc>
        <w:tc>
          <w:tcPr>
            <w:tcW w:w="1128"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4.17</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4.19</w:t>
            </w:r>
          </w:p>
        </w:tc>
        <w:tc>
          <w:tcPr>
            <w:tcW w:w="931"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4.14</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4.01</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3.99</w:t>
            </w:r>
          </w:p>
        </w:tc>
        <w:tc>
          <w:tcPr>
            <w:tcW w:w="927"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4.10</w:t>
            </w:r>
          </w:p>
        </w:tc>
        <w:tc>
          <w:tcPr>
            <w:tcW w:w="939" w:type="dxa"/>
            <w:tcBorders>
              <w:tl2br w:val="nil"/>
              <w:tr2bl w:val="nil"/>
            </w:tcBorders>
            <w:noWrap w:val="0"/>
            <w:vAlign w:val="top"/>
          </w:tcPr>
          <w:p>
            <w:pPr>
              <w:spacing w:line="360" w:lineRule="auto"/>
              <w:jc w:val="center"/>
              <w:rPr>
                <w:rFonts w:hint="default" w:ascii="宋体" w:hAnsi="宋体" w:eastAsia="宋体"/>
                <w:b w:val="0"/>
                <w:bCs w:val="0"/>
                <w:color w:val="auto"/>
                <w:kern w:val="2"/>
                <w:sz w:val="21"/>
                <w:szCs w:val="21"/>
                <w:shd w:val="clear" w:color="auto" w:fill="auto"/>
                <w:lang w:val="en-US" w:eastAsia="zh-CN" w:bidi="ar-SA"/>
              </w:rPr>
            </w:pPr>
            <w:r>
              <w:rPr>
                <w:rFonts w:hint="eastAsia" w:ascii="宋体" w:hAnsi="宋体" w:eastAsia="宋体"/>
                <w:b w:val="0"/>
                <w:bCs w:val="0"/>
                <w:color w:val="auto"/>
                <w:kern w:val="2"/>
                <w:sz w:val="21"/>
                <w:szCs w:val="21"/>
                <w:shd w:val="clear" w:color="auto" w:fill="auto"/>
                <w:lang w:val="en-US" w:eastAsia="zh-CN" w:bidi="ar-SA"/>
              </w:rPr>
              <w:t>4.08</w:t>
            </w:r>
          </w:p>
        </w:tc>
        <w:tc>
          <w:tcPr>
            <w:tcW w:w="1167" w:type="dxa"/>
            <w:tcBorders>
              <w:tl2br w:val="nil"/>
              <w:tr2bl w:val="nil"/>
            </w:tcBorders>
            <w:noWrap w:val="0"/>
            <w:vAlign w:val="center"/>
          </w:tcPr>
          <w:p>
            <w:pPr>
              <w:spacing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0.05</w:t>
            </w:r>
          </w:p>
        </w:tc>
        <w:tc>
          <w:tcPr>
            <w:tcW w:w="1167" w:type="dxa"/>
            <w:tcBorders>
              <w:tl2br w:val="nil"/>
              <w:tr2bl w:val="nil"/>
            </w:tcBorders>
            <w:noWrap w:val="0"/>
            <w:vAlign w:val="center"/>
          </w:tcPr>
          <w:p>
            <w:pPr>
              <w:spacing w:line="360" w:lineRule="auto"/>
              <w:jc w:val="center"/>
              <w:rPr>
                <w:rFonts w:hint="eastAsia" w:ascii="宋体" w:hAnsi="宋体" w:eastAsia="宋体" w:cs="宋体"/>
                <w:kern w:val="2"/>
                <w:sz w:val="21"/>
                <w:szCs w:val="21"/>
                <w:lang w:val="en-US" w:eastAsia="zh-CN" w:bidi="ar-SA"/>
              </w:rPr>
            </w:pPr>
          </w:p>
        </w:tc>
        <w:tc>
          <w:tcPr>
            <w:tcW w:w="1167" w:type="dxa"/>
            <w:tcBorders>
              <w:tl2br w:val="nil"/>
              <w:tr2bl w:val="nil"/>
            </w:tcBorders>
            <w:noWrap w:val="0"/>
            <w:vAlign w:val="center"/>
          </w:tcPr>
          <w:p>
            <w:pPr>
              <w:spacing w:line="360" w:lineRule="auto"/>
              <w:jc w:val="center"/>
              <w:rPr>
                <w:rFonts w:hint="eastAsia" w:ascii="宋体" w:hAnsi="宋体" w:eastAsia="宋体" w:cs="宋体"/>
                <w:kern w:val="2"/>
                <w:sz w:val="21"/>
                <w:szCs w:val="21"/>
                <w:lang w:val="en-US" w:eastAsia="zh-CN" w:bidi="ar-SA"/>
              </w:rPr>
            </w:pPr>
          </w:p>
        </w:tc>
      </w:tr>
    </w:tbl>
    <w:p>
      <w:pPr>
        <w:rPr>
          <w:rFonts w:hint="default"/>
          <w:lang w:val="en-US" w:eastAsia="zh-CN"/>
        </w:rPr>
      </w:pPr>
    </w:p>
    <w:p>
      <w:pPr>
        <w:rPr>
          <w:rFonts w:hint="eastAsia"/>
          <w:lang w:eastAsia="zh-CN"/>
        </w:rPr>
      </w:pPr>
    </w:p>
    <w:p>
      <w:pPr>
        <w:pStyle w:val="2"/>
        <w:rPr>
          <w:rFonts w:hint="eastAsia"/>
          <w:lang w:eastAsia="zh-CN"/>
        </w:rPr>
        <w:sectPr>
          <w:pgSz w:w="16840" w:h="11907" w:orient="landscape"/>
          <w:pgMar w:top="1800" w:right="1440" w:bottom="1800" w:left="1440" w:header="284" w:footer="851" w:gutter="0"/>
          <w:pgBorders>
            <w:top w:val="none" w:sz="0" w:space="0"/>
            <w:left w:val="none" w:sz="0" w:space="0"/>
            <w:bottom w:val="none" w:sz="0" w:space="0"/>
            <w:right w:val="none" w:sz="0" w:space="0"/>
          </w:pgBorders>
          <w:lnNumType w:countBy="0" w:distance="360"/>
          <w:pgNumType w:fmt="decimal"/>
          <w:cols w:space="720" w:num="1"/>
          <w:docGrid w:linePitch="285"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58" w:hRule="atLeast"/>
        </w:trPr>
        <w:tc>
          <w:tcPr>
            <w:tcW w:w="8523" w:type="dxa"/>
          </w:tcPr>
          <w:p>
            <w:pPr>
              <w:pStyle w:val="7"/>
              <w:widowControl w:val="0"/>
              <w:bidi w:val="0"/>
              <w:rPr>
                <w:rFonts w:hint="eastAsia"/>
                <w:lang w:val="en-US" w:eastAsia="zh-CN"/>
              </w:rPr>
            </w:pPr>
            <w:bookmarkStart w:id="100" w:name="_Toc11817"/>
            <w:r>
              <w:rPr>
                <w:rFonts w:hint="eastAsia"/>
                <w:lang w:val="en-US" w:eastAsia="zh-CN"/>
              </w:rPr>
              <w:t>5.5.2噪声监测</w:t>
            </w:r>
            <w:bookmarkStart w:id="101" w:name="_Toc31412"/>
            <w:bookmarkStart w:id="102" w:name="_Toc4546"/>
            <w:r>
              <w:rPr>
                <w:rFonts w:hint="eastAsia"/>
                <w:lang w:val="en-US" w:eastAsia="zh-CN"/>
              </w:rPr>
              <w:t>结果</w:t>
            </w:r>
            <w:bookmarkEnd w:id="101"/>
            <w:bookmarkEnd w:id="102"/>
            <w:r>
              <w:rPr>
                <w:rFonts w:hint="eastAsia"/>
                <w:lang w:val="en-US" w:eastAsia="zh-CN"/>
              </w:rPr>
              <w:t>及评价</w:t>
            </w:r>
          </w:p>
          <w:p>
            <w:pPr>
              <w:widowControl w:val="0"/>
              <w:spacing w:before="159" w:beforeLines="50" w:after="0"/>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本次验收</w:t>
            </w:r>
            <w:r>
              <w:rPr>
                <w:rFonts w:hint="eastAsia" w:ascii="宋体" w:hAnsi="宋体" w:eastAsia="宋体" w:cs="宋体"/>
                <w:color w:val="auto"/>
                <w:highlight w:val="none"/>
                <w:lang w:eastAsia="zh-CN"/>
              </w:rPr>
              <w:t>厂界</w:t>
            </w:r>
            <w:r>
              <w:rPr>
                <w:rFonts w:hint="eastAsia" w:ascii="宋体" w:hAnsi="宋体" w:eastAsia="宋体" w:cs="宋体"/>
                <w:color w:val="auto"/>
                <w:highlight w:val="none"/>
              </w:rPr>
              <w:t>噪声监测结果见表</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w:t>
            </w:r>
            <w:r>
              <w:rPr>
                <w:rFonts w:hint="eastAsia" w:ascii="宋体" w:hAnsi="宋体" w:cs="宋体"/>
                <w:color w:val="auto"/>
                <w:highlight w:val="none"/>
                <w:lang w:val="en-US" w:eastAsia="zh-CN"/>
              </w:rPr>
              <w:t>8</w:t>
            </w:r>
            <w:r>
              <w:rPr>
                <w:rFonts w:hint="eastAsia" w:ascii="宋体" w:hAnsi="宋体" w:eastAsia="宋体" w:cs="宋体"/>
                <w:color w:val="auto"/>
                <w:highlight w:val="none"/>
              </w:rPr>
              <w:t xml:space="preserve">。           </w:t>
            </w:r>
          </w:p>
          <w:p>
            <w:pPr>
              <w:widowControl w:val="0"/>
              <w:spacing w:line="48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表</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8</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eastAsia="zh-CN"/>
              </w:rPr>
              <w:t>厂界环境</w:t>
            </w:r>
            <w:r>
              <w:rPr>
                <w:rFonts w:hint="eastAsia" w:ascii="宋体" w:hAnsi="宋体" w:eastAsia="宋体" w:cs="宋体"/>
                <w:b/>
                <w:bCs/>
                <w:color w:val="auto"/>
                <w:highlight w:val="none"/>
              </w:rPr>
              <w:t>噪声监测结果   单位</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dB（A</w:t>
            </w:r>
            <w:r>
              <w:rPr>
                <w:rFonts w:hint="eastAsia" w:ascii="宋体" w:hAnsi="宋体" w:eastAsia="宋体" w:cs="宋体"/>
                <w:b/>
                <w:bCs/>
                <w:color w:val="auto"/>
                <w:highlight w:val="none"/>
                <w:lang w:eastAsia="zh-CN"/>
              </w:rPr>
              <w:t>）</w:t>
            </w:r>
          </w:p>
          <w:tbl>
            <w:tblPr>
              <w:tblStyle w:val="23"/>
              <w:tblW w:w="7937" w:type="dxa"/>
              <w:tblInd w:w="13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465"/>
              <w:gridCol w:w="1455"/>
              <w:gridCol w:w="1656"/>
              <w:gridCol w:w="2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w:t>
                  </w:r>
                </w:p>
              </w:tc>
              <w:tc>
                <w:tcPr>
                  <w:tcW w:w="1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监</w:t>
                  </w:r>
                  <w:r>
                    <w:rPr>
                      <w:rFonts w:hint="default" w:ascii="Times New Roman" w:hAnsi="Times New Roman" w:eastAsia="宋体" w:cs="Times New Roman"/>
                      <w:b w:val="0"/>
                      <w:bCs w:val="0"/>
                      <w:color w:val="auto"/>
                      <w:sz w:val="24"/>
                      <w:szCs w:val="24"/>
                      <w:highlight w:val="none"/>
                    </w:rPr>
                    <w:t>测日期</w:t>
                  </w:r>
                </w:p>
              </w:tc>
              <w:tc>
                <w:tcPr>
                  <w:tcW w:w="145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监测点位</w:t>
                  </w:r>
                </w:p>
              </w:tc>
              <w:tc>
                <w:tcPr>
                  <w:tcW w:w="1656"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监</w:t>
                  </w:r>
                  <w:r>
                    <w:rPr>
                      <w:rFonts w:hint="default" w:ascii="Times New Roman" w:hAnsi="Times New Roman" w:eastAsia="宋体" w:cs="Times New Roman"/>
                      <w:b w:val="0"/>
                      <w:bCs w:val="0"/>
                      <w:color w:val="auto"/>
                      <w:sz w:val="24"/>
                      <w:szCs w:val="24"/>
                      <w:highlight w:val="none"/>
                    </w:rPr>
                    <w:t>测值</w:t>
                  </w:r>
                </w:p>
              </w:tc>
              <w:tc>
                <w:tcPr>
                  <w:tcW w:w="2500"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8"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656"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昼间</w:t>
                  </w:r>
                </w:p>
              </w:tc>
              <w:tc>
                <w:tcPr>
                  <w:tcW w:w="2500"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厂界环境</w:t>
                  </w:r>
                  <w:r>
                    <w:rPr>
                      <w:rFonts w:hint="default" w:ascii="Times New Roman" w:hAnsi="Times New Roman" w:eastAsia="宋体" w:cs="Times New Roman"/>
                      <w:b w:val="0"/>
                      <w:bCs w:val="0"/>
                      <w:color w:val="auto"/>
                      <w:sz w:val="24"/>
                      <w:szCs w:val="24"/>
                      <w:highlight w:val="none"/>
                    </w:rPr>
                    <w:t>噪声</w:t>
                  </w:r>
                </w:p>
              </w:tc>
              <w:tc>
                <w:tcPr>
                  <w:tcW w:w="1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cs="宋体"/>
                      <w:b w:val="0"/>
                      <w:bCs w:val="0"/>
                      <w:color w:val="000000"/>
                      <w:sz w:val="24"/>
                      <w:szCs w:val="24"/>
                      <w:lang w:val="en-US" w:eastAsia="zh-CN"/>
                    </w:rPr>
                    <w:t>2022年04月17日</w:t>
                  </w: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01东</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48.1</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02南</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46.8</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39.6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03西</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49.5</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04北</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45.5</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78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限值</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65</w:t>
                  </w:r>
                </w:p>
              </w:tc>
              <w:tc>
                <w:tcPr>
                  <w:tcW w:w="2500" w:type="dxa"/>
                  <w:tcBorders>
                    <w:tl2br w:val="nil"/>
                    <w:tr2bl w:val="nil"/>
                  </w:tcBorders>
                  <w:noWrap w:val="0"/>
                  <w:vAlign w:val="center"/>
                </w:tcPr>
                <w:p>
                  <w:pPr>
                    <w:spacing w:line="240" w:lineRule="auto"/>
                    <w:ind w:firstLine="0" w:firstLineChars="0"/>
                    <w:jc w:val="center"/>
                    <w:rPr>
                      <w:rFonts w:hint="default" w:ascii="宋体" w:hAnsi="宋体" w:eastAsia="宋体" w:cs="宋体"/>
                      <w:b/>
                      <w:bCs/>
                      <w:color w:val="000000"/>
                      <w:sz w:val="24"/>
                      <w:szCs w:val="24"/>
                      <w:lang w:val="en-US" w:eastAsia="zh-CN" w:bidi="ar-SA"/>
                    </w:rPr>
                  </w:pPr>
                  <w:r>
                    <w:rPr>
                      <w:rFonts w:hint="eastAsia" w:ascii="宋体" w:hAnsi="宋体" w:eastAsia="宋体" w:cs="宋体"/>
                      <w:b/>
                      <w:bCs/>
                      <w:color w:val="000000"/>
                      <w:sz w:val="24"/>
                      <w:szCs w:val="24"/>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78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是否达标</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达标</w:t>
                  </w:r>
                </w:p>
              </w:tc>
              <w:tc>
                <w:tcPr>
                  <w:tcW w:w="2500" w:type="dxa"/>
                  <w:tcBorders>
                    <w:tl2br w:val="nil"/>
                    <w:tr2bl w:val="nil"/>
                  </w:tcBorders>
                  <w:noWrap w:val="0"/>
                  <w:vAlign w:val="center"/>
                </w:tcPr>
                <w:p>
                  <w:pPr>
                    <w:spacing w:line="240" w:lineRule="auto"/>
                    <w:ind w:firstLine="0" w:firstLineChars="0"/>
                    <w:jc w:val="center"/>
                    <w:rPr>
                      <w:rFonts w:hint="default" w:ascii="宋体" w:hAnsi="宋体" w:eastAsia="宋体" w:cs="宋体"/>
                      <w:b/>
                      <w:bCs/>
                      <w:color w:val="000000"/>
                      <w:sz w:val="24"/>
                      <w:szCs w:val="24"/>
                      <w:lang w:val="en-US" w:eastAsia="zh-CN" w:bidi="ar-SA"/>
                    </w:rPr>
                  </w:pPr>
                  <w:r>
                    <w:rPr>
                      <w:rFonts w:hint="eastAsia" w:ascii="宋体" w:hAnsi="宋体" w:eastAsia="宋体" w:cs="宋体"/>
                      <w:b/>
                      <w:bCs/>
                      <w:color w:val="000000"/>
                      <w:sz w:val="24"/>
                      <w:szCs w:val="24"/>
                      <w:lang w:val="en-US" w:eastAsia="zh-CN" w:bidi="ar-SA"/>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w:t>
                  </w:r>
                </w:p>
              </w:tc>
              <w:tc>
                <w:tcPr>
                  <w:tcW w:w="1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监</w:t>
                  </w:r>
                  <w:r>
                    <w:rPr>
                      <w:rFonts w:hint="default" w:ascii="Times New Roman" w:hAnsi="Times New Roman" w:eastAsia="宋体" w:cs="Times New Roman"/>
                      <w:b w:val="0"/>
                      <w:bCs w:val="0"/>
                      <w:color w:val="auto"/>
                      <w:sz w:val="24"/>
                      <w:szCs w:val="24"/>
                      <w:highlight w:val="none"/>
                    </w:rPr>
                    <w:t>测日期</w:t>
                  </w:r>
                </w:p>
              </w:tc>
              <w:tc>
                <w:tcPr>
                  <w:tcW w:w="145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监测点位</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监测值</w:t>
                  </w:r>
                </w:p>
              </w:tc>
              <w:tc>
                <w:tcPr>
                  <w:tcW w:w="25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昼间</w:t>
                  </w:r>
                </w:p>
              </w:tc>
              <w:tc>
                <w:tcPr>
                  <w:tcW w:w="25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厂界环境噪声</w:t>
                  </w:r>
                </w:p>
              </w:tc>
              <w:tc>
                <w:tcPr>
                  <w:tcW w:w="146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cs="宋体"/>
                      <w:b w:val="0"/>
                      <w:bCs w:val="0"/>
                      <w:color w:val="000000"/>
                      <w:sz w:val="24"/>
                      <w:szCs w:val="24"/>
                      <w:lang w:val="en-US" w:eastAsia="zh-CN"/>
                    </w:rPr>
                    <w:t>2022年04月18日</w:t>
                  </w: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01东</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47.3</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02南</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46.1</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38.6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03西</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48.8</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41.2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6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rPr>
                  </w:pPr>
                </w:p>
              </w:tc>
              <w:tc>
                <w:tcPr>
                  <w:tcW w:w="145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rPr>
                  </w:pPr>
                  <w:r>
                    <w:rPr>
                      <w:rFonts w:hint="eastAsia" w:ascii="宋体" w:hAnsi="宋体" w:cs="宋体"/>
                      <w:color w:val="000000"/>
                      <w:sz w:val="24"/>
                      <w:szCs w:val="24"/>
                      <w:lang w:val="en-US" w:eastAsia="zh-CN"/>
                    </w:rPr>
                    <w:t>04北</w:t>
                  </w:r>
                </w:p>
              </w:tc>
              <w:tc>
                <w:tcPr>
                  <w:tcW w:w="165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color w:val="000000"/>
                      <w:sz w:val="24"/>
                      <w:szCs w:val="24"/>
                      <w:lang w:val="en-US" w:eastAsia="zh-CN"/>
                    </w:rPr>
                    <w:t>45.4</w:t>
                  </w:r>
                </w:p>
              </w:tc>
              <w:tc>
                <w:tcPr>
                  <w:tcW w:w="2500"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val="0"/>
                      <w:bCs w:val="0"/>
                      <w:color w:val="000000"/>
                      <w:sz w:val="24"/>
                      <w:szCs w:val="24"/>
                      <w:highlight w:val="none"/>
                      <w:lang w:val="en-US" w:eastAsia="zh-CN"/>
                    </w:rPr>
                  </w:pPr>
                  <w:r>
                    <w:rPr>
                      <w:rFonts w:hint="eastAsia" w:ascii="宋体" w:hAnsi="宋体" w:eastAsia="宋体" w:cs="宋体"/>
                      <w:color w:val="000000"/>
                      <w:sz w:val="24"/>
                      <w:szCs w:val="24"/>
                      <w:lang w:val="en-US" w:eastAsia="zh-CN"/>
                    </w:rPr>
                    <w:t>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378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限值</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65</w:t>
                  </w:r>
                </w:p>
              </w:tc>
              <w:tc>
                <w:tcPr>
                  <w:tcW w:w="25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78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是否达标</w:t>
                  </w:r>
                </w:p>
              </w:tc>
              <w:tc>
                <w:tcPr>
                  <w:tcW w:w="16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达标</w:t>
                  </w:r>
                </w:p>
              </w:tc>
              <w:tc>
                <w:tcPr>
                  <w:tcW w:w="25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达标</w:t>
                  </w:r>
                </w:p>
              </w:tc>
            </w:tr>
          </w:tbl>
          <w:p>
            <w:pPr>
              <w:keepNext w:val="0"/>
              <w:keepLines w:val="0"/>
              <w:pageBreakBefore w:val="0"/>
              <w:widowControl/>
              <w:kinsoku/>
              <w:wordWrap/>
              <w:overflowPunct/>
              <w:topLinePunct w:val="0"/>
              <w:autoSpaceDE/>
              <w:autoSpaceDN/>
              <w:bidi w:val="0"/>
              <w:adjustRightInd/>
              <w:snapToGrid/>
              <w:spacing w:before="286" w:beforeLines="100"/>
              <w:ind w:firstLine="480" w:firstLineChars="200"/>
              <w:textAlignment w:val="auto"/>
              <w:rPr>
                <w:rFonts w:hint="eastAsia"/>
                <w:lang w:eastAsia="zh-CN"/>
              </w:rPr>
            </w:pPr>
            <w:r>
              <w:rPr>
                <w:rFonts w:hint="eastAsia"/>
                <w:lang w:eastAsia="zh-CN"/>
              </w:rPr>
              <w:t>由监测结果</w:t>
            </w:r>
            <w:r>
              <w:rPr>
                <w:rFonts w:hint="eastAsia"/>
                <w:lang w:val="en-US" w:eastAsia="zh-CN"/>
              </w:rPr>
              <w:t>可知，本项目</w:t>
            </w:r>
            <w:r>
              <w:rPr>
                <w:rFonts w:hint="eastAsia"/>
                <w:lang w:eastAsia="zh-CN"/>
              </w:rPr>
              <w:t>厂界环境</w:t>
            </w:r>
            <w:r>
              <w:rPr>
                <w:rFonts w:hint="eastAsia"/>
              </w:rPr>
              <w:t>噪声</w:t>
            </w:r>
            <w:r>
              <w:rPr>
                <w:rFonts w:hint="eastAsia"/>
                <w:lang w:eastAsia="zh-CN"/>
              </w:rPr>
              <w:t>昼间噪声</w:t>
            </w:r>
            <w:r>
              <w:rPr>
                <w:rFonts w:hint="eastAsia"/>
                <w:lang w:val="en-US" w:eastAsia="zh-CN"/>
              </w:rPr>
              <w:t>45.2～49.5</w:t>
            </w:r>
            <w:r>
              <w:rPr>
                <w:rFonts w:hint="eastAsia"/>
              </w:rPr>
              <w:t>dB（A</w:t>
            </w:r>
            <w:r>
              <w:rPr>
                <w:rFonts w:hint="eastAsia"/>
                <w:lang w:eastAsia="zh-CN"/>
              </w:rPr>
              <w:t>），夜间最大值</w:t>
            </w:r>
            <w:r>
              <w:rPr>
                <w:rFonts w:hint="eastAsia"/>
                <w:lang w:val="en-US" w:eastAsia="zh-CN"/>
              </w:rPr>
              <w:t>38.4～41.2</w:t>
            </w:r>
            <w:r>
              <w:rPr>
                <w:rFonts w:hint="eastAsia"/>
              </w:rPr>
              <w:t>dB（A</w:t>
            </w:r>
            <w:r>
              <w:rPr>
                <w:rFonts w:hint="eastAsia"/>
                <w:lang w:eastAsia="zh-CN"/>
              </w:rPr>
              <w:t>），</w:t>
            </w:r>
            <w:r>
              <w:rPr>
                <w:rFonts w:hint="eastAsia"/>
              </w:rPr>
              <w:t>满足</w:t>
            </w:r>
            <w:r>
              <w:rPr>
                <w:rFonts w:hint="eastAsia"/>
                <w:lang w:eastAsia="zh-CN"/>
              </w:rPr>
              <w:t>《工业企业厂界环境</w:t>
            </w:r>
            <w:r>
              <w:rPr>
                <w:rFonts w:hint="eastAsia"/>
              </w:rPr>
              <w:t xml:space="preserve">噪声排放标准》（GB </w:t>
            </w:r>
            <w:r>
              <w:rPr>
                <w:rFonts w:hint="eastAsia"/>
                <w:lang w:val="en-US" w:eastAsia="zh-CN"/>
              </w:rPr>
              <w:t>12348</w:t>
            </w:r>
            <w:r>
              <w:rPr>
                <w:rFonts w:hint="eastAsia"/>
              </w:rPr>
              <w:t>-2008</w:t>
            </w:r>
            <w:r>
              <w:rPr>
                <w:rFonts w:hint="eastAsia"/>
                <w:lang w:eastAsia="zh-CN"/>
              </w:rPr>
              <w:t>）</w:t>
            </w:r>
            <w:r>
              <w:rPr>
                <w:rFonts w:hint="eastAsia"/>
              </w:rPr>
              <w:t>表1 中</w:t>
            </w:r>
            <w:r>
              <w:rPr>
                <w:rFonts w:hint="eastAsia"/>
                <w:lang w:val="en-US" w:eastAsia="zh-CN"/>
              </w:rPr>
              <w:t>3</w:t>
            </w:r>
            <w:r>
              <w:rPr>
                <w:rFonts w:hint="eastAsia"/>
              </w:rPr>
              <w:t>类标准</w:t>
            </w:r>
            <w:r>
              <w:rPr>
                <w:rFonts w:hint="eastAsia"/>
                <w:lang w:eastAsia="zh-CN"/>
              </w:rPr>
              <w:t>（昼间</w:t>
            </w:r>
            <w:r>
              <w:rPr>
                <w:rFonts w:hint="eastAsia"/>
                <w:lang w:val="en-US" w:eastAsia="zh-CN"/>
              </w:rPr>
              <w:t>65</w:t>
            </w:r>
            <w:r>
              <w:rPr>
                <w:rFonts w:hint="eastAsia"/>
              </w:rPr>
              <w:t>dB（A</w:t>
            </w:r>
            <w:r>
              <w:rPr>
                <w:rFonts w:hint="eastAsia"/>
                <w:lang w:eastAsia="zh-CN"/>
              </w:rPr>
              <w:t>）、夜间</w:t>
            </w:r>
            <w:r>
              <w:rPr>
                <w:rFonts w:hint="eastAsia"/>
                <w:lang w:val="en-US" w:eastAsia="zh-CN"/>
              </w:rPr>
              <w:t>65</w:t>
            </w:r>
            <w:r>
              <w:rPr>
                <w:rFonts w:hint="eastAsia"/>
              </w:rPr>
              <w:t>dB（A</w:t>
            </w:r>
            <w:r>
              <w:rPr>
                <w:rFonts w:hint="eastAsia"/>
                <w:lang w:eastAsia="zh-CN"/>
              </w:rPr>
              <w:t>））的标准</w:t>
            </w:r>
            <w:r>
              <w:rPr>
                <w:rFonts w:hint="eastAsia"/>
              </w:rPr>
              <w:t>限值要求。</w:t>
            </w:r>
          </w:p>
        </w:tc>
      </w:tr>
    </w:tbl>
    <w:p>
      <w:pPr>
        <w:pStyle w:val="5"/>
        <w:bidi w:val="0"/>
        <w:jc w:val="both"/>
        <w:rPr>
          <w:rFonts w:hint="eastAsia" w:ascii="宋体" w:hAnsi="宋体" w:eastAsia="宋体" w:cs="宋体"/>
          <w:color w:val="auto"/>
          <w:highlight w:val="none"/>
          <w:lang w:eastAsia="zh-CN"/>
        </w:rPr>
      </w:pPr>
    </w:p>
    <w:p>
      <w:pPr>
        <w:pStyle w:val="5"/>
        <w:bidi w:val="0"/>
        <w:jc w:val="both"/>
        <w:rPr>
          <w:rFonts w:hint="eastAsia" w:ascii="宋体" w:hAnsi="宋体" w:eastAsia="宋体" w:cs="宋体"/>
          <w:color w:val="auto"/>
          <w:highlight w:val="none"/>
          <w:lang w:eastAsia="zh-CN"/>
        </w:rPr>
      </w:pPr>
    </w:p>
    <w:p>
      <w:pPr>
        <w:pStyle w:val="5"/>
        <w:bidi w:val="0"/>
        <w:jc w:val="both"/>
        <w:rPr>
          <w:rFonts w:hint="eastAsia" w:ascii="宋体" w:hAnsi="宋体" w:eastAsia="宋体" w:cs="宋体"/>
          <w:color w:val="auto"/>
          <w:highlight w:val="none"/>
          <w:lang w:eastAsia="zh-CN"/>
        </w:rPr>
      </w:pPr>
    </w:p>
    <w:p>
      <w:pPr>
        <w:pStyle w:val="5"/>
        <w:bidi w:val="0"/>
        <w:jc w:val="both"/>
        <w:rPr>
          <w:rFonts w:hint="eastAsia" w:ascii="宋体" w:hAnsi="宋体" w:eastAsia="宋体" w:cs="宋体"/>
          <w:color w:val="auto"/>
          <w:highlight w:val="none"/>
          <w:lang w:eastAsia="zh-CN"/>
        </w:rPr>
      </w:pPr>
    </w:p>
    <w:p>
      <w:pPr>
        <w:pStyle w:val="5"/>
        <w:bidi w:val="0"/>
        <w:jc w:val="both"/>
        <w:rPr>
          <w:rFonts w:hint="eastAsia" w:ascii="宋体" w:hAnsi="宋体" w:eastAsia="宋体" w:cs="宋体"/>
          <w:color w:val="auto"/>
          <w:highlight w:val="none"/>
          <w:lang w:eastAsia="zh-CN"/>
        </w:rPr>
      </w:pPr>
    </w:p>
    <w:p>
      <w:pPr>
        <w:pStyle w:val="5"/>
        <w:bidi w:val="0"/>
        <w:jc w:val="both"/>
        <w:rPr>
          <w:rFonts w:hint="eastAsia" w:ascii="宋体" w:hAnsi="宋体" w:eastAsia="宋体" w:cs="宋体"/>
          <w:color w:val="auto"/>
          <w:highlight w:val="none"/>
          <w:lang w:eastAsia="zh-CN"/>
        </w:rPr>
        <w:sectPr>
          <w:pgSz w:w="11907" w:h="16840"/>
          <w:pgMar w:top="1440" w:right="1800" w:bottom="1440" w:left="1800" w:header="284" w:footer="851" w:gutter="0"/>
          <w:pgBorders>
            <w:top w:val="none" w:sz="0" w:space="0"/>
            <w:left w:val="none" w:sz="0" w:space="0"/>
            <w:bottom w:val="none" w:sz="0" w:space="0"/>
            <w:right w:val="none" w:sz="0" w:space="0"/>
          </w:pgBorders>
          <w:lnNumType w:countBy="0" w:distance="360"/>
          <w:pgNumType w:fmt="decimal"/>
          <w:cols w:space="720" w:num="1"/>
          <w:docGrid w:linePitch="285" w:charSpace="0"/>
        </w:sectPr>
      </w:pPr>
    </w:p>
    <w:p>
      <w:pPr>
        <w:pStyle w:val="5"/>
        <w:bidi w:val="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表六</w:t>
      </w:r>
      <w:r>
        <w:rPr>
          <w:rFonts w:hint="eastAsia" w:ascii="宋体" w:hAnsi="宋体" w:eastAsia="宋体" w:cs="宋体"/>
          <w:color w:val="auto"/>
          <w:highlight w:val="none"/>
          <w:lang w:val="en-US" w:eastAsia="zh-CN"/>
        </w:rPr>
        <w:t xml:space="preserve">  建设项目环境影响报告表主要结论及审批部门审批决定</w:t>
      </w:r>
      <w:bookmarkEnd w:id="100"/>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pPr>
              <w:pStyle w:val="6"/>
              <w:widowControl w:val="0"/>
              <w:rPr>
                <w:rFonts w:hint="eastAsia"/>
                <w:lang w:val="en-US" w:eastAsia="zh-CN"/>
              </w:rPr>
            </w:pPr>
            <w:bookmarkStart w:id="103" w:name="_Toc11854"/>
            <w:r>
              <w:rPr>
                <w:rFonts w:hint="eastAsia"/>
                <w:lang w:val="en-US" w:eastAsia="zh-CN"/>
              </w:rPr>
              <w:t>6.1 建设项目环境影响报告表主要结论</w:t>
            </w:r>
            <w:bookmarkEnd w:id="103"/>
          </w:p>
          <w:p>
            <w:pPr>
              <w:widowControl w:val="0"/>
              <w:bidi w:val="0"/>
              <w:ind w:firstLine="482" w:firstLineChars="200"/>
              <w:rPr>
                <w:rFonts w:hint="eastAsia"/>
                <w:b/>
                <w:bCs/>
                <w:lang w:val="en-US" w:eastAsia="zh-CN"/>
              </w:rPr>
            </w:pPr>
            <w:bookmarkStart w:id="104" w:name="_Toc23768"/>
            <w:bookmarkStart w:id="105" w:name="_Toc6148"/>
            <w:r>
              <w:rPr>
                <w:rFonts w:hint="eastAsia"/>
                <w:b/>
                <w:bCs/>
                <w:lang w:val="en-US" w:eastAsia="zh-CN"/>
              </w:rPr>
              <w:t>项目概况</w:t>
            </w:r>
            <w:bookmarkEnd w:id="104"/>
            <w:bookmarkEnd w:id="105"/>
          </w:p>
          <w:p>
            <w:pPr>
              <w:widowControl w:val="0"/>
              <w:bidi w:val="0"/>
              <w:ind w:firstLine="480" w:firstLineChars="200"/>
              <w:rPr>
                <w:rFonts w:hint="eastAsia" w:eastAsia="宋体"/>
                <w:lang w:eastAsia="zh-CN"/>
              </w:rPr>
            </w:pPr>
            <w:r>
              <w:rPr>
                <w:rFonts w:hint="eastAsia"/>
              </w:rPr>
              <w:t>项目名称</w:t>
            </w:r>
            <w:r>
              <w:rPr>
                <w:rFonts w:hint="eastAsia"/>
                <w:lang w:eastAsia="zh-CN"/>
              </w:rPr>
              <w:t>：绿色装配式建筑产业园建设项目（一期）</w:t>
            </w:r>
          </w:p>
          <w:p>
            <w:pPr>
              <w:widowControl w:val="0"/>
              <w:bidi w:val="0"/>
              <w:ind w:firstLine="480" w:firstLineChars="200"/>
              <w:rPr>
                <w:rFonts w:hint="eastAsia"/>
                <w:lang w:eastAsia="zh-CN"/>
              </w:rPr>
            </w:pPr>
            <w:r>
              <w:rPr>
                <w:rFonts w:hint="eastAsia"/>
                <w:lang w:eastAsia="zh-CN"/>
              </w:rPr>
              <w:t>项目</w:t>
            </w:r>
            <w:r>
              <w:rPr>
                <w:rFonts w:hint="eastAsia"/>
              </w:rPr>
              <w:t>项目性质</w:t>
            </w:r>
            <w:r>
              <w:rPr>
                <w:rFonts w:hint="eastAsia"/>
                <w:lang w:eastAsia="zh-CN"/>
              </w:rPr>
              <w:t>：新建</w:t>
            </w:r>
          </w:p>
          <w:p>
            <w:pPr>
              <w:widowControl w:val="0"/>
              <w:bidi w:val="0"/>
              <w:ind w:firstLine="480" w:firstLineChars="200"/>
              <w:jc w:val="both"/>
              <w:rPr>
                <w:rFonts w:hint="default"/>
              </w:rPr>
            </w:pPr>
            <w:r>
              <w:rPr>
                <w:rFonts w:hint="default"/>
              </w:rPr>
              <w:t>建设地点</w:t>
            </w:r>
            <w:r>
              <w:rPr>
                <w:rFonts w:hint="default"/>
                <w:lang w:eastAsia="zh-CN"/>
              </w:rPr>
              <w:t>：</w:t>
            </w:r>
            <w:r>
              <w:rPr>
                <w:rFonts w:hint="eastAsia"/>
                <w:lang w:val="en-US" w:eastAsia="zh-CN"/>
              </w:rPr>
              <w:t>本项目位于</w:t>
            </w:r>
            <w:r>
              <w:rPr>
                <w:rFonts w:hint="eastAsia"/>
              </w:rPr>
              <w:t>开发区康盛路西侧，项目中心地理坐标东经86</w:t>
            </w:r>
            <w:r>
              <w:rPr>
                <w:rFonts w:hint="eastAsia" w:ascii="宋体" w:hAnsi="宋体" w:eastAsia="宋体" w:cs="宋体"/>
              </w:rPr>
              <w:t>°</w:t>
            </w:r>
            <w:r>
              <w:rPr>
                <w:rFonts w:hint="eastAsia"/>
              </w:rPr>
              <w:t>11'53.28"，北纬41</w:t>
            </w:r>
            <w:r>
              <w:rPr>
                <w:rFonts w:hint="eastAsia" w:ascii="宋体" w:hAnsi="宋体" w:eastAsia="宋体" w:cs="宋体"/>
              </w:rPr>
              <w:t>°</w:t>
            </w:r>
            <w:r>
              <w:rPr>
                <w:rFonts w:hint="eastAsia"/>
              </w:rPr>
              <w:t>94'24.42"。项目总投资</w:t>
            </w:r>
            <w:r>
              <w:rPr>
                <w:rFonts w:hint="eastAsia"/>
                <w:lang w:val="en-US" w:eastAsia="zh-CN"/>
              </w:rPr>
              <w:t>8000</w:t>
            </w:r>
            <w:r>
              <w:rPr>
                <w:rFonts w:hint="eastAsia"/>
              </w:rPr>
              <w:t>万元，其中环保投资125万元。项目总占地面积为140928.01平方米，建设内容包括主体工程、辅助工程、储运及其他工程、公用工程、环保工程。主体工程</w:t>
            </w:r>
            <w:r>
              <w:rPr>
                <w:rFonts w:hint="eastAsia"/>
                <w:lang w:val="en-US" w:eastAsia="zh-CN"/>
              </w:rPr>
              <w:t>实际</w:t>
            </w:r>
            <w:r>
              <w:rPr>
                <w:rFonts w:hint="eastAsia"/>
              </w:rPr>
              <w:t>建设内容包括</w:t>
            </w:r>
            <w:r>
              <w:rPr>
                <w:rFonts w:hint="eastAsia"/>
                <w:lang w:val="en-US" w:eastAsia="zh-CN"/>
              </w:rPr>
              <w:t>1</w:t>
            </w:r>
            <w:r>
              <w:rPr>
                <w:rFonts w:hint="eastAsia"/>
              </w:rPr>
              <w:t>座生产厂房、1座搅拌车间。辅助工程建设内容包括2</w:t>
            </w:r>
            <w:r>
              <w:rPr>
                <w:rFonts w:hint="eastAsia"/>
                <w:lang w:val="en-US" w:eastAsia="zh-CN"/>
              </w:rPr>
              <w:t>座办公室</w:t>
            </w:r>
            <w:r>
              <w:rPr>
                <w:rFonts w:hint="eastAsia"/>
              </w:rPr>
              <w:t>、门卫室、地面硬化。储运及其他工程建设内容包括2座原料仓、1座堆场。公用工程建设内容包括给水、排水、供电、供热系统。</w:t>
            </w:r>
          </w:p>
          <w:p>
            <w:pPr>
              <w:pStyle w:val="6"/>
              <w:widowControl w:val="0"/>
              <w:bidi w:val="0"/>
              <w:rPr>
                <w:rFonts w:hint="eastAsia"/>
                <w:lang w:val="en-US" w:eastAsia="zh-CN"/>
              </w:rPr>
            </w:pPr>
            <w:bookmarkStart w:id="106" w:name="_Toc13794"/>
            <w:r>
              <w:rPr>
                <w:rFonts w:hint="eastAsia"/>
                <w:lang w:val="en-US" w:eastAsia="zh-CN"/>
              </w:rPr>
              <w:t>6.2环境影响报告表建议</w:t>
            </w:r>
            <w:bookmarkEnd w:id="106"/>
          </w:p>
          <w:p>
            <w:pPr>
              <w:widowControl w:val="0"/>
              <w:bidi w:val="0"/>
              <w:ind w:firstLine="480" w:firstLineChars="200"/>
              <w:jc w:val="left"/>
              <w:rPr>
                <w:rFonts w:hint="default"/>
                <w:lang w:val="en-US" w:eastAsia="zh-CN"/>
              </w:rPr>
            </w:pPr>
            <w:r>
              <w:rPr>
                <w:rFonts w:hint="default"/>
                <w:lang w:val="en-US" w:eastAsia="zh-CN"/>
              </w:rPr>
              <w:t>（1）设立危险品的管理制度，建立使用台账，配备个人防护设施和应急处置设施；</w:t>
            </w:r>
          </w:p>
          <w:p>
            <w:pPr>
              <w:widowControl w:val="0"/>
              <w:bidi w:val="0"/>
              <w:ind w:firstLine="480" w:firstLineChars="200"/>
              <w:jc w:val="left"/>
              <w:rPr>
                <w:rFonts w:hint="default"/>
                <w:lang w:val="en-US" w:eastAsia="zh-CN"/>
              </w:rPr>
            </w:pPr>
            <w:r>
              <w:rPr>
                <w:rFonts w:hint="default"/>
                <w:lang w:val="en-US" w:eastAsia="zh-CN"/>
              </w:rPr>
              <w:t xml:space="preserve">（2）建立完善的环境管理制度，设立专门环境管理机构，建立完善的环境监测制度。 </w:t>
            </w:r>
          </w:p>
          <w:p>
            <w:pPr>
              <w:widowControl w:val="0"/>
              <w:bidi w:val="0"/>
              <w:ind w:firstLine="480" w:firstLineChars="200"/>
              <w:jc w:val="left"/>
              <w:rPr>
                <w:rFonts w:hint="default"/>
                <w:lang w:val="en-US" w:eastAsia="zh-CN"/>
              </w:rPr>
            </w:pPr>
            <w:r>
              <w:rPr>
                <w:rFonts w:hint="default"/>
                <w:lang w:val="en-US" w:eastAsia="zh-CN"/>
              </w:rPr>
              <w:t>（</w:t>
            </w:r>
            <w:r>
              <w:rPr>
                <w:rFonts w:hint="eastAsia"/>
                <w:lang w:val="en-US" w:eastAsia="zh-CN"/>
              </w:rPr>
              <w:t>3</w:t>
            </w:r>
            <w:r>
              <w:rPr>
                <w:rFonts w:hint="default"/>
                <w:lang w:val="en-US" w:eastAsia="zh-CN"/>
              </w:rPr>
              <w:t xml:space="preserve">）按照环境监测计划对项目废气、厂界噪声等定期进行监测。 </w:t>
            </w:r>
          </w:p>
          <w:p>
            <w:pPr>
              <w:widowControl w:val="0"/>
              <w:bidi w:val="0"/>
              <w:ind w:firstLine="480" w:firstLineChars="200"/>
              <w:jc w:val="left"/>
              <w:rPr>
                <w:rFonts w:hint="default"/>
                <w:lang w:val="en-US" w:eastAsia="zh-CN"/>
              </w:rPr>
            </w:pPr>
            <w:r>
              <w:rPr>
                <w:rFonts w:hint="default"/>
                <w:lang w:val="en-US" w:eastAsia="zh-CN"/>
              </w:rPr>
              <w:t>（</w:t>
            </w:r>
            <w:r>
              <w:rPr>
                <w:rFonts w:hint="eastAsia"/>
                <w:lang w:val="en-US" w:eastAsia="zh-CN"/>
              </w:rPr>
              <w:t>4</w:t>
            </w:r>
            <w:r>
              <w:rPr>
                <w:rFonts w:hint="default"/>
                <w:lang w:val="en-US" w:eastAsia="zh-CN"/>
              </w:rPr>
              <w:t>）危险废物临时贮存仓库设立相应标志牌。</w:t>
            </w:r>
          </w:p>
          <w:p>
            <w:pPr>
              <w:pStyle w:val="6"/>
              <w:widowControl w:val="0"/>
              <w:bidi w:val="0"/>
              <w:rPr>
                <w:rFonts w:hint="eastAsia"/>
                <w:lang w:val="en-US" w:eastAsia="zh-CN"/>
              </w:rPr>
            </w:pPr>
            <w:bookmarkStart w:id="107" w:name="_Toc16590"/>
            <w:r>
              <w:rPr>
                <w:rFonts w:hint="eastAsia"/>
                <w:lang w:val="en-US" w:eastAsia="zh-CN"/>
              </w:rPr>
              <w:t>6.3 环境影响报告表批复</w:t>
            </w:r>
            <w:bookmarkEnd w:id="107"/>
          </w:p>
          <w:p>
            <w:pPr>
              <w:keepNext w:val="0"/>
              <w:keepLines w:val="0"/>
              <w:pageBreakBefore w:val="0"/>
              <w:widowControl/>
              <w:kinsoku w:val="0"/>
              <w:wordWrap/>
              <w:overflowPunct/>
              <w:topLinePunct w:val="0"/>
              <w:autoSpaceDE w:val="0"/>
              <w:autoSpaceDN w:val="0"/>
              <w:bidi w:val="0"/>
              <w:adjustRightInd w:val="0"/>
              <w:snapToGrid w:val="0"/>
              <w:spacing w:line="360" w:lineRule="auto"/>
              <w:ind w:right="0"/>
              <w:jc w:val="both"/>
              <w:textAlignment w:val="baseline"/>
              <w:rPr>
                <w:rFonts w:hint="eastAsia"/>
                <w:lang w:eastAsia="zh-CN"/>
              </w:rPr>
            </w:pPr>
            <w:r>
              <w:rPr>
                <w:rFonts w:hint="eastAsia"/>
                <w:lang w:eastAsia="zh-CN"/>
              </w:rPr>
              <w:t>巴州好绿筑科技有限公司：</w:t>
            </w:r>
          </w:p>
          <w:p>
            <w:pPr>
              <w:widowControl w:val="0"/>
              <w:ind w:firstLine="480" w:firstLineChars="200"/>
              <w:jc w:val="both"/>
              <w:rPr>
                <w:rFonts w:hint="eastAsia" w:eastAsia="宋体"/>
                <w:lang w:eastAsia="zh-CN"/>
              </w:rPr>
            </w:pPr>
            <w:r>
              <w:rPr>
                <w:rFonts w:hint="eastAsia"/>
              </w:rPr>
              <w:t>你公司报送的由新疆中测环保科技有限公司刘雪峰、聂立编制的《绿色装配式建筑产业园建设项目</w:t>
            </w:r>
            <w:r>
              <w:rPr>
                <w:rFonts w:hint="eastAsia"/>
                <w:lang w:eastAsia="zh-CN"/>
              </w:rPr>
              <w:t>（</w:t>
            </w:r>
            <w:r>
              <w:rPr>
                <w:rFonts w:hint="eastAsia"/>
              </w:rPr>
              <w:t>-期</w:t>
            </w:r>
            <w:r>
              <w:rPr>
                <w:rFonts w:hint="eastAsia"/>
                <w:lang w:eastAsia="zh-CN"/>
              </w:rPr>
              <w:t>）</w:t>
            </w:r>
            <w:r>
              <w:rPr>
                <w:rFonts w:hint="eastAsia"/>
              </w:rPr>
              <w:t>环境影响评价报告表》及《申请报告》已收悉。经审查，项目符合产业政策及建设项目环境影响评价分类管理名录，现批复如下</w:t>
            </w:r>
            <w:r>
              <w:rPr>
                <w:rFonts w:hint="eastAsia"/>
                <w:lang w:eastAsia="zh-CN"/>
              </w:rPr>
              <w:t>：</w:t>
            </w:r>
          </w:p>
          <w:p>
            <w:pPr>
              <w:widowControl w:val="0"/>
              <w:jc w:val="both"/>
              <w:rPr>
                <w:rFonts w:hint="eastAsia"/>
              </w:rPr>
            </w:pPr>
            <w:r>
              <w:rPr>
                <w:rFonts w:hint="eastAsia"/>
              </w:rPr>
              <w:t>一、本项目位于开发区康盛路西侧，项目中心地理坐标东经86</w:t>
            </w:r>
            <w:r>
              <w:rPr>
                <w:rFonts w:hint="eastAsia" w:ascii="宋体" w:hAnsi="宋体" w:eastAsia="宋体" w:cs="宋体"/>
              </w:rPr>
              <w:t>°</w:t>
            </w:r>
            <w:r>
              <w:rPr>
                <w:rFonts w:hint="eastAsia"/>
              </w:rPr>
              <w:t>11'53.28"，北纬41</w:t>
            </w:r>
            <w:r>
              <w:rPr>
                <w:rFonts w:hint="eastAsia" w:ascii="宋体" w:hAnsi="宋体" w:eastAsia="宋体" w:cs="宋体"/>
              </w:rPr>
              <w:t>°</w:t>
            </w:r>
            <w:r>
              <w:rPr>
                <w:rFonts w:hint="eastAsia"/>
              </w:rPr>
              <w:t>94'24.42"。项目总投资25000万元，其中环保投资125万元。项目总占地面积为140928.01平方米，建设内容包括主体工程、辅助工程、储运及其他工程、公用工程、环保工程。主体工程建设内容包括3座生产厂房、1座搅拌车间。辅助工程建设内容包括1座综合楼、2座办公楼、门卫室、地面硬化。储运及其他工程建设内容包括2座原料仓、1座堆场。公用工程建设内容包括给水、排水、供电、供热系统。环保工程建设内容包括废气、废水、噪声、固废的治理。项目拟建设叠合楼板生产线、免拆模板复合保温墙板生产线、PC构件生产线、混凝土生产线。叠合楼板生产工艺为原料一上料输送一计量一强力混合一碾压一养护一切割一成品</w:t>
            </w:r>
            <w:r>
              <w:rPr>
                <w:rFonts w:hint="eastAsia"/>
                <w:lang w:eastAsia="zh-CN"/>
              </w:rPr>
              <w:t>；</w:t>
            </w:r>
            <w:r>
              <w:rPr>
                <w:rFonts w:hint="eastAsia"/>
              </w:rPr>
              <w:t>叠合楼板生产工艺为原料一投料一配比搅拌一划线一安装预埋件、钢筋网</w:t>
            </w:r>
            <w:r>
              <w:rPr>
                <w:rFonts w:hint="eastAsia"/>
                <w:lang w:eastAsia="zh-CN"/>
              </w:rPr>
              <w:t>（</w:t>
            </w:r>
            <w:r>
              <w:rPr>
                <w:rFonts w:hint="eastAsia"/>
              </w:rPr>
              <w:t>架</w:t>
            </w:r>
            <w:r>
              <w:rPr>
                <w:rFonts w:hint="eastAsia"/>
                <w:lang w:eastAsia="zh-CN"/>
              </w:rPr>
              <w:t>）</w:t>
            </w:r>
            <w:r>
              <w:rPr>
                <w:rFonts w:hint="eastAsia"/>
              </w:rPr>
              <w:t>一浇筑一震动一拉毛一静待养护一吊装一包装一待售。PC构件生产</w:t>
            </w:r>
            <w:r>
              <w:rPr>
                <w:rFonts w:hint="eastAsia"/>
                <w:lang w:val="en-US" w:eastAsia="zh-CN"/>
              </w:rPr>
              <w:t xml:space="preserve"> </w:t>
            </w:r>
            <w:r>
              <w:rPr>
                <w:rFonts w:hint="eastAsia"/>
              </w:rPr>
              <w:t>工艺为钢筋一下料一折弯一成型</w:t>
            </w:r>
            <w:r>
              <w:rPr>
                <w:rFonts w:hint="eastAsia"/>
                <w:lang w:eastAsia="zh-CN"/>
              </w:rPr>
              <w:t>；</w:t>
            </w:r>
            <w:r>
              <w:rPr>
                <w:rFonts w:hint="eastAsia"/>
              </w:rPr>
              <w:t>混凝土生产工艺为原科一计量输送一搅拌成品。建成后年产免拆模板复合保温墙板60万平方米，年产叠合楼板40万平方米，年产PC构件3.5万吨，年产混凝土5万立方米。</w:t>
            </w:r>
          </w:p>
          <w:p>
            <w:pPr>
              <w:widowControl w:val="0"/>
              <w:jc w:val="both"/>
              <w:rPr>
                <w:rFonts w:hint="eastAsia"/>
              </w:rPr>
            </w:pPr>
            <w:r>
              <w:rPr>
                <w:rFonts w:hint="eastAsia"/>
              </w:rPr>
              <w:t>二、项目在运营管理中要认真落实环境影响评价报告中提出的各项环境保护和污染防治措施，确保各类污染物稳定达标排放，严格执行环保“三同时”制度。在运行管理过程中应重点做好以下工作。</w:t>
            </w:r>
          </w:p>
          <w:p>
            <w:pPr>
              <w:widowControl w:val="0"/>
              <w:jc w:val="both"/>
              <w:rPr>
                <w:rFonts w:hint="eastAsia"/>
              </w:rPr>
            </w:pPr>
            <w:r>
              <w:rPr>
                <w:rFonts w:hint="eastAsia"/>
                <w:lang w:eastAsia="zh-CN"/>
              </w:rPr>
              <w:t>（</w:t>
            </w:r>
            <w:r>
              <w:rPr>
                <w:rFonts w:hint="eastAsia"/>
              </w:rPr>
              <w:t>一</w:t>
            </w:r>
            <w:r>
              <w:rPr>
                <w:rFonts w:hint="eastAsia"/>
                <w:lang w:eastAsia="zh-CN"/>
              </w:rPr>
              <w:t>）</w:t>
            </w:r>
            <w:r>
              <w:rPr>
                <w:rFonts w:hint="eastAsia"/>
              </w:rPr>
              <w:t>做好施工期各项污染防治工作。施工期废水经沉淀池处理后回用。施工期原料运输、堆放采用防风抑尘网遮差，场地四周设置围墙围档，道路临时硬化、及时清理弃渣，酒水降尘等降低扬尘污染。选用低噪声设备，合理布局高噪声源在施工场地的位置，严格操作规程，降低人为嚷声环境污染。施工期建筑垃圾定点堆放，及时清运。</w:t>
            </w:r>
          </w:p>
          <w:p>
            <w:pPr>
              <w:widowControl w:val="0"/>
              <w:jc w:val="both"/>
              <w:rPr>
                <w:rFonts w:hint="eastAsia"/>
              </w:rPr>
            </w:pPr>
            <w:r>
              <w:rPr>
                <w:rFonts w:hint="eastAsia"/>
                <w:lang w:eastAsia="zh-CN"/>
              </w:rPr>
              <w:t>（</w:t>
            </w:r>
            <w:r>
              <w:rPr>
                <w:rFonts w:hint="eastAsia"/>
              </w:rPr>
              <w:t>二</w:t>
            </w:r>
            <w:r>
              <w:rPr>
                <w:rFonts w:hint="eastAsia"/>
                <w:lang w:eastAsia="zh-CN"/>
              </w:rPr>
              <w:t>）</w:t>
            </w:r>
            <w:r>
              <w:rPr>
                <w:rFonts w:hint="eastAsia"/>
              </w:rPr>
              <w:t>做好水河染防治工作。餐饮废水经隔油池处理后与其他生活污水一同排入化粪池预处理后进入园区污水管网，生产过程清洗废水经沉淀泡处理后循环使用。执行标准《污水综合排放标准》</w:t>
            </w:r>
            <w:r>
              <w:rPr>
                <w:rFonts w:hint="eastAsia"/>
                <w:lang w:eastAsia="zh-CN"/>
              </w:rPr>
              <w:t>（</w:t>
            </w:r>
            <w:r>
              <w:rPr>
                <w:rFonts w:hint="eastAsia"/>
              </w:rPr>
              <w:t>GB8978-1996</w:t>
            </w:r>
            <w:r>
              <w:rPr>
                <w:rFonts w:hint="eastAsia"/>
                <w:lang w:eastAsia="zh-CN"/>
              </w:rPr>
              <w:t>）</w:t>
            </w:r>
            <w:r>
              <w:rPr>
                <w:rFonts w:hint="eastAsia"/>
              </w:rPr>
              <w:t>中三级标准。</w:t>
            </w:r>
          </w:p>
          <w:p>
            <w:pPr>
              <w:widowControl w:val="0"/>
              <w:jc w:val="both"/>
              <w:rPr>
                <w:rFonts w:hint="eastAsia"/>
              </w:rPr>
            </w:pPr>
            <w:r>
              <w:rPr>
                <w:rFonts w:hint="eastAsia"/>
                <w:lang w:eastAsia="zh-CN"/>
              </w:rPr>
              <w:t>（</w:t>
            </w:r>
            <w:r>
              <w:rPr>
                <w:rFonts w:hint="eastAsia"/>
              </w:rPr>
              <w:t>三</w:t>
            </w:r>
            <w:r>
              <w:rPr>
                <w:rFonts w:hint="eastAsia"/>
                <w:lang w:eastAsia="zh-CN"/>
              </w:rPr>
              <w:t>）</w:t>
            </w:r>
            <w:r>
              <w:rPr>
                <w:rFonts w:hint="eastAsia"/>
              </w:rPr>
              <w:t>做好大气污染防治工作。投料输送工序全过程密闭</w:t>
            </w:r>
            <w:r>
              <w:rPr>
                <w:rFonts w:hint="eastAsia"/>
                <w:lang w:eastAsia="zh-CN"/>
              </w:rPr>
              <w:t>；</w:t>
            </w:r>
            <w:r>
              <w:rPr>
                <w:rFonts w:hint="eastAsia"/>
              </w:rPr>
              <w:t>水泥罐仓呼吸粉尘经袋式除尘器处理后，通过15米高拌气简排放</w:t>
            </w:r>
            <w:r>
              <w:rPr>
                <w:rFonts w:hint="eastAsia"/>
                <w:lang w:eastAsia="zh-CN"/>
              </w:rPr>
              <w:t>；</w:t>
            </w:r>
            <w:r>
              <w:rPr>
                <w:rFonts w:hint="eastAsia"/>
              </w:rPr>
              <w:t>搅拌工序粉尘经袋式除尘器处理后，通过15米高排气简排放</w:t>
            </w:r>
            <w:r>
              <w:rPr>
                <w:rFonts w:hint="eastAsia"/>
                <w:lang w:eastAsia="zh-CN"/>
              </w:rPr>
              <w:t>；</w:t>
            </w:r>
            <w:r>
              <w:rPr>
                <w:rFonts w:hint="eastAsia"/>
              </w:rPr>
              <w:t>切割粉尘经袋式除尘系统收集后，通过15米高排气简排放。执行标准《水泥工业大气污染物排放标准》</w:t>
            </w:r>
            <w:r>
              <w:rPr>
                <w:rFonts w:hint="eastAsia"/>
                <w:lang w:eastAsia="zh-CN"/>
              </w:rPr>
              <w:t>（</w:t>
            </w:r>
            <w:r>
              <w:rPr>
                <w:rFonts w:hint="eastAsia"/>
              </w:rPr>
              <w:t>GB4915-2013</w:t>
            </w:r>
            <w:r>
              <w:rPr>
                <w:rFonts w:hint="eastAsia"/>
                <w:lang w:eastAsia="zh-CN"/>
              </w:rPr>
              <w:t>）</w:t>
            </w:r>
            <w:r>
              <w:rPr>
                <w:rFonts w:hint="eastAsia"/>
              </w:rPr>
              <w:t>中表2中大气污染物特别排放限值。</w:t>
            </w:r>
          </w:p>
          <w:p>
            <w:pPr>
              <w:widowControl w:val="0"/>
              <w:jc w:val="both"/>
              <w:rPr>
                <w:rFonts w:hint="eastAsia"/>
              </w:rPr>
            </w:pPr>
            <w:r>
              <w:rPr>
                <w:rFonts w:hint="eastAsia"/>
                <w:lang w:eastAsia="zh-CN"/>
              </w:rPr>
              <w:t>（</w:t>
            </w:r>
            <w:r>
              <w:rPr>
                <w:rFonts w:hint="eastAsia"/>
              </w:rPr>
              <w:t>四</w:t>
            </w:r>
            <w:r>
              <w:rPr>
                <w:rFonts w:hint="eastAsia"/>
                <w:lang w:eastAsia="zh-CN"/>
              </w:rPr>
              <w:t>）</w:t>
            </w:r>
            <w:r>
              <w:rPr>
                <w:rFonts w:hint="eastAsia"/>
              </w:rPr>
              <w:t>做好噪声污染防治工作。设备采购时选用低噪声设备，并安装隔声、消声和减振设施。运管期加强管理，经常保养和维护生产设备，避免设备在不良状态下运行。执行标准《工业企业厂界环境噪声排放标准》</w:t>
            </w:r>
            <w:r>
              <w:rPr>
                <w:rFonts w:hint="eastAsia"/>
                <w:lang w:eastAsia="zh-CN"/>
              </w:rPr>
              <w:t>（</w:t>
            </w:r>
            <w:r>
              <w:rPr>
                <w:rFonts w:hint="eastAsia"/>
              </w:rPr>
              <w:t>GB12348-2008</w:t>
            </w:r>
            <w:r>
              <w:rPr>
                <w:rFonts w:hint="eastAsia"/>
                <w:lang w:eastAsia="zh-CN"/>
              </w:rPr>
              <w:t>）</w:t>
            </w:r>
            <w:r>
              <w:rPr>
                <w:rFonts w:hint="eastAsia"/>
              </w:rPr>
              <w:t>中3类标准。</w:t>
            </w:r>
          </w:p>
          <w:p>
            <w:pPr>
              <w:widowControl w:val="0"/>
              <w:jc w:val="both"/>
              <w:rPr>
                <w:rFonts w:hint="eastAsia"/>
              </w:rPr>
            </w:pPr>
            <w:r>
              <w:rPr>
                <w:rFonts w:hint="eastAsia"/>
                <w:lang w:eastAsia="zh-CN"/>
              </w:rPr>
              <w:t>（</w:t>
            </w:r>
            <w:r>
              <w:rPr>
                <w:rFonts w:hint="eastAsia"/>
              </w:rPr>
              <w:t>五</w:t>
            </w:r>
            <w:r>
              <w:rPr>
                <w:rFonts w:hint="eastAsia"/>
                <w:lang w:eastAsia="zh-CN"/>
              </w:rPr>
              <w:t>）</w:t>
            </w:r>
            <w:r>
              <w:rPr>
                <w:rFonts w:hint="eastAsia"/>
              </w:rPr>
              <w:t>做好固体废物处置工作。生活垃圾定期交由环卫部门清运</w:t>
            </w:r>
            <w:r>
              <w:rPr>
                <w:rFonts w:hint="eastAsia"/>
                <w:lang w:eastAsia="zh-CN"/>
              </w:rPr>
              <w:t>；</w:t>
            </w:r>
            <w:r>
              <w:rPr>
                <w:rFonts w:hint="eastAsia"/>
              </w:rPr>
              <w:t>除尘器收集粉尘全部回用于生产</w:t>
            </w:r>
            <w:r>
              <w:rPr>
                <w:rFonts w:hint="eastAsia"/>
                <w:lang w:eastAsia="zh-CN"/>
              </w:rPr>
              <w:t>：</w:t>
            </w:r>
            <w:r>
              <w:rPr>
                <w:rFonts w:hint="eastAsia"/>
              </w:rPr>
              <w:t>沉淀池废渣定期清掏后国用于生产</w:t>
            </w:r>
            <w:r>
              <w:rPr>
                <w:rFonts w:hint="eastAsia"/>
                <w:lang w:eastAsia="zh-CN"/>
              </w:rPr>
              <w:t>；</w:t>
            </w:r>
            <w:r>
              <w:rPr>
                <w:rFonts w:hint="eastAsia"/>
              </w:rPr>
              <w:t>废弃砂石料集中收集后综合利用。</w:t>
            </w:r>
          </w:p>
          <w:p>
            <w:pPr>
              <w:widowControl w:val="0"/>
              <w:jc w:val="both"/>
              <w:rPr>
                <w:rFonts w:hint="eastAsia"/>
              </w:rPr>
            </w:pPr>
            <w:r>
              <w:rPr>
                <w:rFonts w:hint="eastAsia"/>
              </w:rPr>
              <w:t>三、如项目的性质、规模、地点、工艺或者防治污染、防止生态破坏的措施发声重大变动，你公司需要重新向我局报批环评文件。自环评文件批准之日起超过S年建设项目开工建设的，环评文件应当报我局重新审核。</w:t>
            </w:r>
          </w:p>
          <w:p>
            <w:pPr>
              <w:widowControl w:val="0"/>
              <w:rPr>
                <w:rFonts w:hint="eastAsia"/>
                <w:lang w:eastAsia="zh-CN"/>
              </w:rPr>
            </w:pPr>
            <w:r>
              <w:rPr>
                <w:rFonts w:hint="eastAsia"/>
              </w:rPr>
              <w:t>四、项目建成后应按照《排污许可管理条例》及《建设项目环境保护管理条例》相关规定，中领排污许可证，开展建设项目坡工环境保护验收工作，验收通过后才可正式投入使用。按规定接受各级生态环境部门的监督检查。</w:t>
            </w:r>
          </w:p>
          <w:p>
            <w:pPr>
              <w:pStyle w:val="7"/>
              <w:widowControl w:val="0"/>
              <w:rPr>
                <w:rFonts w:hint="eastAsia"/>
                <w:lang w:eastAsia="zh-CN"/>
              </w:rPr>
            </w:pPr>
          </w:p>
          <w:p>
            <w:pPr>
              <w:widowControl w:val="0"/>
              <w:rPr>
                <w:rFonts w:hint="eastAsia"/>
                <w:lang w:eastAsia="zh-CN"/>
              </w:rPr>
            </w:pPr>
          </w:p>
          <w:p>
            <w:pPr>
              <w:widowControl w:val="0"/>
              <w:rPr>
                <w:rFonts w:hint="eastAsia"/>
                <w:lang w:eastAsia="zh-CN"/>
              </w:rPr>
            </w:pPr>
          </w:p>
          <w:p>
            <w:pPr>
              <w:pStyle w:val="2"/>
              <w:widowControl w:val="0"/>
              <w:rPr>
                <w:rFonts w:hint="eastAsia"/>
                <w:lang w:eastAsia="zh-CN"/>
              </w:rPr>
            </w:pPr>
          </w:p>
          <w:p>
            <w:pPr>
              <w:widowControl w:val="0"/>
              <w:rPr>
                <w:rFonts w:hint="eastAsia"/>
                <w:lang w:eastAsia="zh-CN"/>
              </w:rPr>
            </w:pPr>
          </w:p>
          <w:p>
            <w:pPr>
              <w:pStyle w:val="2"/>
              <w:widowControl w:val="0"/>
              <w:rPr>
                <w:rFonts w:hint="eastAsia"/>
                <w:lang w:eastAsia="zh-CN"/>
              </w:rPr>
            </w:pPr>
          </w:p>
          <w:p>
            <w:pPr>
              <w:widowControl w:val="0"/>
              <w:rPr>
                <w:rFonts w:hint="eastAsia"/>
                <w:lang w:eastAsia="zh-CN"/>
              </w:rPr>
            </w:pPr>
          </w:p>
          <w:p>
            <w:pPr>
              <w:pStyle w:val="2"/>
              <w:widowControl w:val="0"/>
              <w:rPr>
                <w:rFonts w:hint="eastAsia"/>
                <w:lang w:eastAsia="zh-CN"/>
              </w:rPr>
            </w:pPr>
          </w:p>
          <w:p>
            <w:pPr>
              <w:widowControl w:val="0"/>
              <w:rPr>
                <w:rFonts w:hint="eastAsia"/>
                <w:lang w:eastAsia="zh-CN"/>
              </w:rPr>
            </w:pPr>
          </w:p>
          <w:p>
            <w:pPr>
              <w:pStyle w:val="2"/>
              <w:widowControl w:val="0"/>
              <w:rPr>
                <w:rFonts w:hint="eastAsia"/>
                <w:lang w:eastAsia="zh-CN"/>
              </w:rPr>
            </w:pPr>
          </w:p>
          <w:p>
            <w:pPr>
              <w:widowControl w:val="0"/>
              <w:rPr>
                <w:rFonts w:hint="eastAsia"/>
                <w:lang w:eastAsia="zh-CN"/>
              </w:rPr>
            </w:pPr>
          </w:p>
          <w:p>
            <w:pPr>
              <w:pStyle w:val="2"/>
              <w:widowControl w:val="0"/>
              <w:rPr>
                <w:rFonts w:hint="eastAsia"/>
                <w:lang w:eastAsia="zh-CN"/>
              </w:rPr>
            </w:pPr>
          </w:p>
          <w:p>
            <w:pPr>
              <w:widowControl w:val="0"/>
              <w:rPr>
                <w:rFonts w:hint="eastAsia"/>
                <w:lang w:eastAsia="zh-CN"/>
              </w:rPr>
            </w:pPr>
          </w:p>
          <w:p>
            <w:pPr>
              <w:pStyle w:val="2"/>
              <w:widowControl w:val="0"/>
              <w:rPr>
                <w:rFonts w:hint="eastAsia"/>
                <w:lang w:eastAsia="zh-CN"/>
              </w:rPr>
            </w:pPr>
          </w:p>
        </w:tc>
      </w:tr>
    </w:tbl>
    <w:p>
      <w:pPr>
        <w:bidi w:val="0"/>
        <w:rPr>
          <w:rFonts w:hint="eastAsia" w:ascii="宋体" w:hAnsi="宋体" w:eastAsia="宋体" w:cs="宋体"/>
          <w:color w:val="auto"/>
          <w:lang w:eastAsia="zh-CN"/>
        </w:rPr>
      </w:pPr>
    </w:p>
    <w:p>
      <w:pPr>
        <w:pStyle w:val="5"/>
        <w:rPr>
          <w:rFonts w:hint="eastAsia" w:ascii="宋体" w:hAnsi="宋体" w:eastAsia="宋体" w:cs="宋体"/>
          <w:color w:val="auto"/>
          <w:highlight w:val="none"/>
          <w:lang w:eastAsia="zh-CN"/>
        </w:rPr>
      </w:pPr>
      <w:bookmarkStart w:id="108" w:name="_Toc19970"/>
      <w:r>
        <w:rPr>
          <w:rFonts w:hint="eastAsia" w:ascii="宋体" w:hAnsi="宋体" w:eastAsia="宋体" w:cs="宋体"/>
          <w:color w:val="auto"/>
          <w:highlight w:val="none"/>
          <w:lang w:eastAsia="zh-CN"/>
        </w:rPr>
        <w:t>表七</w:t>
      </w:r>
      <w:bookmarkEnd w:id="99"/>
      <w:r>
        <w:rPr>
          <w:rFonts w:hint="eastAsia" w:ascii="宋体" w:hAnsi="宋体" w:eastAsia="宋体" w:cs="宋体"/>
          <w:color w:val="auto"/>
          <w:highlight w:val="none"/>
          <w:lang w:val="en-US" w:eastAsia="zh-CN"/>
        </w:rPr>
        <w:t xml:space="preserve"> 验收</w:t>
      </w:r>
      <w:r>
        <w:rPr>
          <w:rFonts w:hint="eastAsia" w:ascii="宋体" w:hAnsi="宋体" w:eastAsia="宋体" w:cs="宋体"/>
          <w:color w:val="auto"/>
          <w:highlight w:val="none"/>
          <w:lang w:eastAsia="zh-CN"/>
        </w:rPr>
        <w:t>环保检查结果</w:t>
      </w:r>
      <w:bookmarkEnd w:id="108"/>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trPr>
        <w:tc>
          <w:tcPr>
            <w:tcW w:w="8516" w:type="dxa"/>
            <w:noWrap w:val="0"/>
            <w:vAlign w:val="top"/>
          </w:tcPr>
          <w:p>
            <w:pPr>
              <w:pStyle w:val="6"/>
              <w:widowControl w:val="0"/>
              <w:rPr>
                <w:rFonts w:hint="eastAsia" w:ascii="宋体" w:hAnsi="宋体" w:eastAsia="宋体" w:cs="宋体"/>
                <w:color w:val="auto"/>
              </w:rPr>
            </w:pPr>
            <w:bookmarkStart w:id="109" w:name="_Toc9135"/>
            <w:bookmarkStart w:id="110" w:name="_Toc22602"/>
            <w:r>
              <w:rPr>
                <w:rFonts w:hint="eastAsia" w:ascii="宋体" w:hAnsi="宋体" w:eastAsia="宋体" w:cs="宋体"/>
                <w:color w:val="auto"/>
                <w:lang w:val="en-US" w:eastAsia="zh-CN"/>
              </w:rPr>
              <w:t>7</w:t>
            </w:r>
            <w:r>
              <w:rPr>
                <w:rFonts w:hint="eastAsia" w:ascii="宋体" w:hAnsi="宋体" w:eastAsia="宋体" w:cs="宋体"/>
                <w:color w:val="auto"/>
                <w:lang w:eastAsia="zh-CN"/>
              </w:rPr>
              <w:t>.</w:t>
            </w:r>
            <w:r>
              <w:rPr>
                <w:rFonts w:hint="eastAsia" w:ascii="宋体" w:hAnsi="宋体" w:eastAsia="宋体" w:cs="宋体"/>
                <w:color w:val="auto"/>
              </w:rPr>
              <w:t>1</w:t>
            </w:r>
            <w:bookmarkStart w:id="111" w:name="_Toc617"/>
            <w:r>
              <w:rPr>
                <w:rFonts w:hint="eastAsia" w:ascii="宋体" w:hAnsi="宋体" w:eastAsia="宋体" w:cs="宋体"/>
                <w:color w:val="auto"/>
              </w:rPr>
              <w:t>环评</w:t>
            </w:r>
            <w:r>
              <w:rPr>
                <w:rFonts w:hint="eastAsia" w:ascii="宋体" w:hAnsi="宋体" w:eastAsia="宋体" w:cs="宋体"/>
                <w:color w:val="auto"/>
                <w:lang w:eastAsia="zh-CN"/>
              </w:rPr>
              <w:t>要求及批复要求</w:t>
            </w:r>
            <w:r>
              <w:rPr>
                <w:rFonts w:hint="eastAsia" w:ascii="宋体" w:hAnsi="宋体" w:eastAsia="宋体" w:cs="宋体"/>
                <w:color w:val="auto"/>
              </w:rPr>
              <w:t>落实情况</w:t>
            </w:r>
            <w:bookmarkEnd w:id="109"/>
            <w:bookmarkEnd w:id="111"/>
          </w:p>
          <w:p>
            <w:pPr>
              <w:widowControl w:val="0"/>
              <w:ind w:firstLine="59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本项目环评批复落实情况详见</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w:t>
            </w:r>
          </w:p>
          <w:p>
            <w:pPr>
              <w:widowControl w:val="0"/>
              <w:bidi w:val="0"/>
              <w:jc w:val="center"/>
              <w:rPr>
                <w:rFonts w:hint="eastAsia" w:ascii="宋体" w:hAnsi="宋体" w:eastAsia="宋体" w:cs="宋体"/>
                <w:b/>
                <w:bCs/>
                <w:color w:val="auto"/>
              </w:rPr>
            </w:pPr>
            <w:r>
              <w:rPr>
                <w:rFonts w:hint="eastAsia" w:ascii="宋体" w:hAnsi="宋体" w:eastAsia="宋体" w:cs="宋体"/>
                <w:b/>
                <w:bCs/>
                <w:color w:val="auto"/>
              </w:rPr>
              <w:t>表</w:t>
            </w:r>
            <w:r>
              <w:rPr>
                <w:rFonts w:hint="eastAsia" w:ascii="宋体" w:hAnsi="宋体" w:eastAsia="宋体" w:cs="宋体"/>
                <w:b/>
                <w:bCs/>
                <w:color w:val="auto"/>
                <w:lang w:val="en-US" w:eastAsia="zh-CN"/>
              </w:rPr>
              <w:t>7</w:t>
            </w:r>
            <w:r>
              <w:rPr>
                <w:rFonts w:hint="eastAsia" w:ascii="宋体" w:hAnsi="宋体" w:eastAsia="宋体" w:cs="宋体"/>
                <w:b/>
                <w:bCs/>
                <w:color w:val="auto"/>
              </w:rPr>
              <w:t>-1  环评批复及落实情况一览表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770"/>
              <w:gridCol w:w="3723"/>
              <w:gridCol w:w="3747"/>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序号</w:t>
                  </w:r>
                </w:p>
              </w:tc>
              <w:tc>
                <w:tcPr>
                  <w:tcW w:w="3723"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环评及批复要求</w:t>
                  </w:r>
                </w:p>
              </w:tc>
              <w:tc>
                <w:tcPr>
                  <w:tcW w:w="3747"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落实情况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 w:hRule="atLeast"/>
              </w:trPr>
              <w:tc>
                <w:tcPr>
                  <w:tcW w:w="770" w:type="dxa"/>
                  <w:noWrap w:val="0"/>
                  <w:vAlign w:val="center"/>
                </w:tcPr>
                <w:p>
                  <w:pPr>
                    <w:bidi w:val="0"/>
                    <w:jc w:val="both"/>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1</w:t>
                  </w:r>
                </w:p>
              </w:tc>
              <w:tc>
                <w:tcPr>
                  <w:tcW w:w="3723"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sz w:val="24"/>
                      <w:szCs w:val="24"/>
                    </w:rPr>
                    <w:t>本项目位于开发区康盛路西侧，项目中心地理坐标东经86°11'53.28"，北纬41°94'24.42"。项目总投资25000万元，其中环保投资125万元。项目总占地面积为140928.01平方米，建设内容包括主体工程、辅助工程、储运及其他工程、公用工程、环保工程。主体工程建设内容包括3座生产厂房、1座搅拌车间。辅助工程建设内容包括1座综合楼、2座办公楼、门卫室、地面硬化。储运及其他工程建设内容包括2座原料仓、1座堆场。公用工程建设内容包括给水、排水、供电、供热系统。环保工程建设内容包括废气、废水、噪声、固废的治理。项目拟建设叠合楼板生产线、免拆模板复合保温墙板生产线、PC构件生产线、混凝土生产线。叠合楼板生产工艺为原料一上料输送一计量一强力混合一碾压一养护一切割一成品</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叠合楼板生产工艺为原料一投料一配比搅拌一划线一安装预埋件、钢筋网</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一浇筑一震动一拉毛一静待养护一吊装一包装一待售。PC构件生产</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工艺为钢筋一下料一折弯一成型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混凝土生产工艺为原科一计量输送一搅拌成品。建成后年产免拆模板复合保温墙板60万平方米，年产叠合楼板40万平方米，年产PC构件3.5万吨，年产混凝土5万立方米。</w:t>
                  </w:r>
                </w:p>
              </w:tc>
              <w:tc>
                <w:tcPr>
                  <w:tcW w:w="374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bookmarkStart w:id="112" w:name="_Toc178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经调查，</w:t>
                  </w:r>
                  <w:bookmarkEnd w:id="112"/>
                  <w:r>
                    <w:rPr>
                      <w:rFonts w:hint="default" w:ascii="Times New Roman" w:hAnsi="Times New Roman" w:eastAsia="宋体" w:cs="Times New Roman"/>
                      <w:sz w:val="24"/>
                      <w:szCs w:val="24"/>
                    </w:rPr>
                    <w:t>该项目位于开发区康盛路西侧，项目中心地理坐标东经86°11'53.28"，北纬41°94'24.42"。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本项目只对已建成的搅拌车间及混凝土搅拌生产线及其配套的环保工程、公用工程、储运工程等进行验收。另3座生产厂房及生产线待建成并试运行后进行单独验收。</w:t>
                  </w:r>
                </w:p>
                <w:p>
                  <w:pPr>
                    <w:bidi w:val="0"/>
                    <w:jc w:val="both"/>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sz w:val="24"/>
                      <w:szCs w:val="24"/>
                      <w:lang w:val="en-US" w:eastAsia="zh-CN"/>
                    </w:rPr>
                    <w:t>本次验收的</w:t>
                  </w:r>
                  <w:r>
                    <w:rPr>
                      <w:rFonts w:hint="default" w:ascii="Times New Roman" w:hAnsi="Times New Roman" w:eastAsia="宋体" w:cs="Times New Roman"/>
                      <w:sz w:val="24"/>
                      <w:szCs w:val="24"/>
                    </w:rPr>
                    <w:t>建设内容包括主体工程、储运工程、配套工程、公用工程及环保工程</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主体工程建设内容</w:t>
                  </w:r>
                  <w:r>
                    <w:rPr>
                      <w:rFonts w:hint="eastAsia" w:ascii="Times New Roman" w:hAnsi="Times New Roman" w:eastAsia="宋体" w:cs="Times New Roman"/>
                      <w:sz w:val="24"/>
                      <w:szCs w:val="24"/>
                      <w:lang w:val="en-US" w:eastAsia="zh-CN"/>
                    </w:rPr>
                    <w:t>为</w:t>
                  </w:r>
                  <w:r>
                    <w:rPr>
                      <w:rFonts w:hint="default" w:ascii="Times New Roman" w:hAnsi="Times New Roman" w:eastAsia="宋体" w:cs="Times New Roman"/>
                      <w:sz w:val="24"/>
                      <w:szCs w:val="24"/>
                    </w:rPr>
                    <w:t>1座</w:t>
                  </w:r>
                  <w:r>
                    <w:rPr>
                      <w:rFonts w:hint="eastAsia" w:ascii="Times New Roman" w:hAnsi="Times New Roman" w:eastAsia="宋体" w:cs="Times New Roman"/>
                      <w:sz w:val="24"/>
                      <w:szCs w:val="24"/>
                      <w:lang w:val="en-US" w:eastAsia="zh-CN"/>
                    </w:rPr>
                    <w:t>混凝土</w:t>
                  </w:r>
                  <w:r>
                    <w:rPr>
                      <w:rFonts w:hint="default" w:ascii="Times New Roman" w:hAnsi="Times New Roman" w:eastAsia="宋体" w:cs="Times New Roman"/>
                      <w:sz w:val="24"/>
                      <w:szCs w:val="24"/>
                    </w:rPr>
                    <w:t>搅拌车间</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配套120型混凝土，现实际年产混凝土5万立方米</w:t>
                  </w:r>
                  <w:r>
                    <w:rPr>
                      <w:rFonts w:hint="default" w:ascii="Times New Roman" w:hAnsi="Times New Roman" w:eastAsia="宋体" w:cs="Times New Roman"/>
                      <w:sz w:val="24"/>
                      <w:szCs w:val="24"/>
                    </w:rPr>
                    <w:t>。辅助工程建设内容包括门卫室、地面硬化。储运及其他工程建设内容包括</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座原料仓</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产品无需堆放故未建堆场</w:t>
                  </w:r>
                  <w:r>
                    <w:rPr>
                      <w:rFonts w:hint="default" w:ascii="Times New Roman" w:hAnsi="Times New Roman" w:eastAsia="宋体" w:cs="Times New Roman"/>
                      <w:sz w:val="24"/>
                      <w:szCs w:val="24"/>
                    </w:rPr>
                    <w:t>。公用工程建设内容包括给水、排水、供电、供热系统。环保工程建设内容包括废气、废水、噪声、固废的治理。项目总投资</w:t>
                  </w:r>
                  <w:r>
                    <w:rPr>
                      <w:rFonts w:hint="eastAsia" w:ascii="Times New Roman" w:hAnsi="Times New Roman" w:eastAsia="宋体" w:cs="Times New Roman"/>
                      <w:sz w:val="24"/>
                      <w:szCs w:val="24"/>
                      <w:lang w:val="en-US" w:eastAsia="zh-CN"/>
                    </w:rPr>
                    <w:t>8000</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其中环保投资</w:t>
                  </w:r>
                  <w:r>
                    <w:rPr>
                      <w:rFonts w:hint="eastAsia" w:ascii="Times New Roman" w:hAnsi="Times New Roman" w:eastAsia="宋体" w:cs="Times New Roman"/>
                      <w:sz w:val="24"/>
                      <w:szCs w:val="24"/>
                      <w:lang w:val="en-US" w:eastAsia="zh-CN"/>
                    </w:rPr>
                    <w:t>125</w:t>
                  </w:r>
                  <w:r>
                    <w:rPr>
                      <w:rFonts w:hint="default" w:ascii="Times New Roman" w:hAnsi="Times New Roman" w:eastAsia="宋体" w:cs="Times New Roman"/>
                      <w:sz w:val="24"/>
                      <w:szCs w:val="24"/>
                    </w:rPr>
                    <w:t>万元</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约占总投资的2.04%。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87"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w:t>
                  </w:r>
                </w:p>
              </w:tc>
              <w:tc>
                <w:tcPr>
                  <w:tcW w:w="372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做好施工期各项污染防治工作。施工期废水经沉淀池处理后回用。施工期原料运输、堆放采用防风抑尘网遮差，场地四周设置围墙围档，道路临时硬化、及时清理弃渣，酒水降尘等降低扬尘污染。选用低噪声设备，合理布局高噪声源在施工场地的位置，严格操作规程，降低人为嚷声环境污染。施工期建筑垃圾定点堆放，及时清运。</w:t>
                  </w:r>
                </w:p>
                <w:p>
                  <w:pPr>
                    <w:bidi w:val="0"/>
                    <w:jc w:val="both"/>
                    <w:rPr>
                      <w:rFonts w:hint="default" w:ascii="Times New Roman" w:hAnsi="Times New Roman" w:eastAsia="宋体" w:cs="Times New Roman"/>
                      <w:b w:val="0"/>
                      <w:bCs w:val="0"/>
                      <w:color w:val="auto"/>
                      <w:sz w:val="24"/>
                      <w:szCs w:val="24"/>
                      <w:lang w:eastAsia="zh-CN"/>
                    </w:rPr>
                  </w:pPr>
                </w:p>
              </w:tc>
              <w:tc>
                <w:tcPr>
                  <w:tcW w:w="374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w:t>
                  </w:r>
                  <w:r>
                    <w:rPr>
                      <w:rFonts w:hint="eastAsia" w:ascii="Times New Roman" w:hAnsi="Times New Roman" w:eastAsia="宋体" w:cs="Times New Roman"/>
                      <w:sz w:val="24"/>
                      <w:szCs w:val="24"/>
                      <w:lang w:val="en-US" w:eastAsia="zh-CN"/>
                    </w:rPr>
                    <w:t>本此验收项目的施工期</w:t>
                  </w:r>
                  <w:r>
                    <w:rPr>
                      <w:rFonts w:hint="default" w:ascii="Times New Roman" w:hAnsi="Times New Roman" w:eastAsia="宋体" w:cs="Times New Roman"/>
                      <w:sz w:val="24"/>
                      <w:szCs w:val="24"/>
                      <w:lang w:val="en-US" w:eastAsia="zh-CN"/>
                    </w:rPr>
                    <w:t>已经结束，无施工期遗留影响。</w:t>
                  </w:r>
                  <w:r>
                    <w:rPr>
                      <w:rFonts w:hint="eastAsia" w:ascii="Times New Roman" w:hAnsi="Times New Roman" w:eastAsia="宋体" w:cs="Times New Roman"/>
                      <w:sz w:val="24"/>
                      <w:szCs w:val="24"/>
                      <w:lang w:val="en-US" w:eastAsia="zh-CN"/>
                    </w:rPr>
                    <w:t>因厂区正在建设二期建设内容，仍处于施工期，经现场核查，原料运输、</w:t>
                  </w:r>
                  <w:r>
                    <w:rPr>
                      <w:rFonts w:hint="default" w:ascii="Times New Roman" w:hAnsi="Times New Roman" w:eastAsia="宋体" w:cs="Times New Roman"/>
                      <w:sz w:val="24"/>
                      <w:szCs w:val="24"/>
                      <w:lang w:val="en-US" w:eastAsia="zh-CN"/>
                    </w:rPr>
                    <w:t>堆放采用防风抑尘网遮差，场地四周设置围墙围档，道路临时硬化、及时清理弃渣，酒水降尘等降低扬尘污染。选用低噪声设备，合理布局高噪声源在施工场地的位置，严格操作规程，降低人为嚷声环境污染。施工期建筑垃圾定点堆放，及时清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76"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w:t>
                  </w:r>
                </w:p>
              </w:tc>
              <w:tc>
                <w:tcPr>
                  <w:tcW w:w="37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做好水污染防治工作。餐饮废水经隔油池处理后与其他生活污水一同排入化粪池预处理后进入园区污水管网，生产过程清洗废水经沉淀泡处理后循环使用。执行标准《污水综合排放标准》（GB8978-1996）中三级标准。</w:t>
                  </w:r>
                </w:p>
                <w:p>
                  <w:pPr>
                    <w:bidi w:val="0"/>
                    <w:rPr>
                      <w:rFonts w:hint="default"/>
                    </w:rPr>
                  </w:pPr>
                </w:p>
              </w:tc>
              <w:tc>
                <w:tcPr>
                  <w:tcW w:w="37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w:t>
                  </w:r>
                  <w:r>
                    <w:rPr>
                      <w:rFonts w:hint="eastAsia" w:cs="Times New Roman"/>
                      <w:sz w:val="24"/>
                      <w:szCs w:val="24"/>
                      <w:lang w:val="en-US" w:eastAsia="zh-CN"/>
                    </w:rPr>
                    <w:t>，</w:t>
                  </w:r>
                  <w:r>
                    <w:rPr>
                      <w:rFonts w:hint="default" w:ascii="Times New Roman" w:hAnsi="Times New Roman" w:eastAsia="宋体" w:cs="Times New Roman"/>
                      <w:sz w:val="24"/>
                      <w:szCs w:val="24"/>
                    </w:rPr>
                    <w:t>营运期食堂含油废水经</w:t>
                  </w:r>
                  <w:r>
                    <w:rPr>
                      <w:rFonts w:hint="eastAsia" w:ascii="Times New Roman" w:hAnsi="Times New Roman" w:eastAsia="宋体" w:cs="Times New Roman"/>
                      <w:sz w:val="24"/>
                      <w:szCs w:val="24"/>
                      <w:lang w:val="en-US" w:eastAsia="zh-CN"/>
                    </w:rPr>
                    <w:t>化粪池</w:t>
                  </w:r>
                  <w:r>
                    <w:rPr>
                      <w:rFonts w:hint="default" w:ascii="Times New Roman" w:hAnsi="Times New Roman" w:eastAsia="宋体" w:cs="Times New Roman"/>
                      <w:sz w:val="24"/>
                      <w:szCs w:val="24"/>
                    </w:rPr>
                    <w:t>处理后与其他生活污水排入园区下水管道</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最终进入开发区污水处理厂集中处理</w:t>
                  </w:r>
                  <w:r>
                    <w:rPr>
                      <w:rFonts w:hint="eastAsia" w:cs="Times New Roman"/>
                      <w:sz w:val="24"/>
                      <w:szCs w:val="24"/>
                      <w:lang w:eastAsia="zh-CN"/>
                    </w:rPr>
                    <w:t>，</w:t>
                  </w:r>
                  <w:r>
                    <w:rPr>
                      <w:rFonts w:hint="eastAsia" w:cs="Times New Roman"/>
                      <w:sz w:val="24"/>
                      <w:szCs w:val="24"/>
                      <w:lang w:val="en-US" w:eastAsia="zh-CN"/>
                    </w:rPr>
                    <w:t>经监测，能满足</w:t>
                  </w:r>
                  <w:r>
                    <w:rPr>
                      <w:rFonts w:hint="default" w:ascii="Times New Roman" w:hAnsi="Times New Roman" w:eastAsia="宋体" w:cs="Times New Roman"/>
                      <w:sz w:val="24"/>
                      <w:szCs w:val="24"/>
                      <w:lang w:val="en-US" w:eastAsia="zh-CN"/>
                    </w:rPr>
                    <w:t>《污水综合排放标准》（GB8978-1996）中三级标准</w:t>
                  </w:r>
                  <w:r>
                    <w:rPr>
                      <w:rFonts w:hint="eastAsia" w:cs="Times New Roman"/>
                      <w:sz w:val="24"/>
                      <w:szCs w:val="24"/>
                      <w:lang w:val="en-US" w:eastAsia="zh-CN"/>
                    </w:rPr>
                    <w:t>限值要求</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营运期生产废水主要是生产过程清洗废水，经沉淀池沉淀后回用于生产，不外排。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9"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w:t>
                  </w:r>
                </w:p>
              </w:tc>
              <w:tc>
                <w:tcPr>
                  <w:tcW w:w="3723"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sz w:val="24"/>
                      <w:szCs w:val="24"/>
                      <w:lang w:val="en-US" w:eastAsia="zh-CN"/>
                    </w:rPr>
                    <w:t>做好大气污染防治工作。投料输送工序全过程密闭；水泥罐仓呼吸粉尘经袋式除尘器处理后，通过15米高拌气简排放；搅拌工序粉尘经袋式除尘器处理后，通过15米高排气简排放；切割粉尘经袋式除尘系统收集后，通过15米高排气简排放。执行标准《水泥工业大气污染物排放标准》（GB4915-2013）中表2中大气污染物特别排放限值。</w:t>
                  </w:r>
                  <w:r>
                    <w:rPr>
                      <w:rFonts w:hint="default" w:ascii="Times New Roman" w:hAnsi="Times New Roman" w:eastAsia="宋体" w:cs="Times New Roman"/>
                      <w:b w:val="0"/>
                      <w:bCs w:val="0"/>
                      <w:color w:val="auto"/>
                      <w:sz w:val="24"/>
                      <w:szCs w:val="24"/>
                      <w:lang w:val="en-US" w:eastAsia="zh-CN"/>
                    </w:rPr>
                    <w:t xml:space="preserve">                                                                                    </w:t>
                  </w:r>
                </w:p>
              </w:tc>
              <w:tc>
                <w:tcPr>
                  <w:tcW w:w="374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经调查，经调查，</w:t>
                  </w:r>
                  <w:r>
                    <w:rPr>
                      <w:rFonts w:hint="eastAsia" w:ascii="Times New Roman" w:hAnsi="Times New Roman" w:eastAsia="宋体" w:cs="Times New Roman"/>
                      <w:sz w:val="24"/>
                      <w:szCs w:val="24"/>
                      <w:lang w:val="en-US" w:eastAsia="zh-CN"/>
                    </w:rPr>
                    <w:t>营运期废气</w:t>
                  </w:r>
                  <w:r>
                    <w:rPr>
                      <w:rFonts w:hint="eastAsia" w:ascii="Times New Roman" w:hAnsi="Times New Roman" w:eastAsia="宋体" w:cs="Times New Roman"/>
                      <w:sz w:val="24"/>
                      <w:szCs w:val="24"/>
                    </w:rPr>
                    <w:t>主要污染物为</w:t>
                  </w:r>
                  <w:r>
                    <w:rPr>
                      <w:rFonts w:hint="eastAsia" w:ascii="Times New Roman" w:hAnsi="Times New Roman" w:eastAsia="宋体" w:cs="Times New Roman"/>
                      <w:sz w:val="24"/>
                      <w:szCs w:val="24"/>
                      <w:lang w:val="en-US" w:eastAsia="zh-CN"/>
                    </w:rPr>
                    <w:t>搅拌工序废气和水泥筒仓、粉煤灰筒仓和矿粉筒仓呼吸孔废气以及厂界无组织粉尘。（1）搅拌工序废气：本项目搅拌楼选用120型混凝土搅拌机，该混凝土搅拌机为密封装置，产生的粉尘全部采用自带的主动式除尘器进行除尘，在搅拌机内回用，无排气口。（2）水泥筒仓、粉煤灰筒仓和矿粉筒仓呼吸孔废气：水泥、粉煤灰和矿粉在进入筒仓时在其顶部排气孔有少量颗粒物排出，每个筒仓排气孔装有自带的脉冲反吹式袋式除尘器，且筒仓全部设置在密封厂房内，产生的少量颗粒物采用物理沉降的方式，经监测，厂界无组织颗粒物排放满足《大气污染物综合排放标准》（GB16297-1996）中颗粒物无组织排放限值要求，对环境影响不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742"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w:t>
                  </w:r>
                </w:p>
              </w:tc>
              <w:tc>
                <w:tcPr>
                  <w:tcW w:w="37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做好噪声污染防治工作。设备采购时选用低噪声设备，并安装隔声、消声和减振设施。运管期加强管理，经常保养和维护生产设备，避免设备在不良状态下运行。执行标准《工业企业厂界环境噪声排放标准》（GB12348-2008）中3类标准。</w:t>
                  </w:r>
                </w:p>
              </w:tc>
              <w:tc>
                <w:tcPr>
                  <w:tcW w:w="3747"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经调查，项目区通过</w:t>
                  </w:r>
                  <w:r>
                    <w:rPr>
                      <w:rFonts w:hint="default" w:ascii="Times New Roman" w:hAnsi="Times New Roman" w:eastAsia="宋体" w:cs="Times New Roman"/>
                      <w:sz w:val="24"/>
                      <w:szCs w:val="24"/>
                    </w:rPr>
                    <w:t>选用低噪声、振动小的设备并进行合理布局，对各类设备噪声源采取减振、隔声、消音等降噪措施，</w:t>
                  </w:r>
                  <w:r>
                    <w:rPr>
                      <w:rFonts w:hint="default" w:ascii="Times New Roman" w:hAnsi="Times New Roman" w:eastAsia="宋体" w:cs="Times New Roman"/>
                      <w:sz w:val="24"/>
                      <w:szCs w:val="24"/>
                      <w:lang w:val="en-US" w:eastAsia="zh-CN"/>
                    </w:rPr>
                    <w:t>经监测，</w:t>
                  </w:r>
                  <w:r>
                    <w:rPr>
                      <w:rFonts w:hint="default" w:ascii="Times New Roman" w:hAnsi="Times New Roman" w:eastAsia="宋体" w:cs="Times New Roman"/>
                      <w:sz w:val="24"/>
                      <w:szCs w:val="24"/>
                    </w:rPr>
                    <w:t>厂界噪声</w:t>
                  </w:r>
                  <w:r>
                    <w:rPr>
                      <w:rFonts w:hint="default" w:ascii="Times New Roman" w:hAnsi="Times New Roman" w:eastAsia="宋体" w:cs="Times New Roman"/>
                      <w:sz w:val="24"/>
                      <w:szCs w:val="24"/>
                      <w:lang w:val="en-US" w:eastAsia="zh-CN"/>
                    </w:rPr>
                    <w:t>排放满足</w:t>
                  </w:r>
                  <w:r>
                    <w:rPr>
                      <w:rFonts w:hint="default" w:ascii="Times New Roman" w:hAnsi="Times New Roman" w:eastAsia="宋体" w:cs="Times New Roman"/>
                      <w:sz w:val="24"/>
                      <w:szCs w:val="24"/>
                    </w:rPr>
                    <w:t>《工业企业厂界环境噪声排放标准》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 GB12348-2008</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xml:space="preserve"> 3类标准限值要求。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669"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6</w:t>
                  </w:r>
                </w:p>
              </w:tc>
              <w:tc>
                <w:tcPr>
                  <w:tcW w:w="37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经调查，项目区通过选用低噪声、振动小的设备并进行合理布局，对各类设备噪声源采取减振、隔声、消音等降噪措施，经监测，厂界噪声排放满足《工业企业厂界环境噪声排放标准》（ GB12348-2008） 3类标准限值要求。</w:t>
                  </w:r>
                </w:p>
              </w:tc>
              <w:tc>
                <w:tcPr>
                  <w:tcW w:w="3747"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经调查，项目区通过选用低噪声、振动小的设备并进行合理布局，对各类设备噪声源采取减振、隔声、消音等降噪措施，经监测，厂界噪声排放满足《工业企业厂界环境噪声排放标准》（ GB12348-2008） 3类标准限值要求。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669" w:hRule="atLeast"/>
              </w:trPr>
              <w:tc>
                <w:tcPr>
                  <w:tcW w:w="770"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7</w:t>
                  </w:r>
                </w:p>
              </w:tc>
              <w:tc>
                <w:tcPr>
                  <w:tcW w:w="37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做好固体废物处置工作。生活垃圾定期交由环卫部门清运；除尘器收集粉尘全部回用于生产：沉淀池废渣定期清掏后国用于生产；废弃砂石料集中收集后综合利用。</w:t>
                  </w:r>
                </w:p>
                <w:p>
                  <w:pPr>
                    <w:numPr>
                      <w:ilvl w:val="0"/>
                      <w:numId w:val="0"/>
                    </w:numPr>
                    <w:ind w:firstLine="240" w:firstLineChars="100"/>
                    <w:rPr>
                      <w:rFonts w:hint="default" w:ascii="Times New Roman" w:hAnsi="Times New Roman" w:eastAsia="宋体" w:cs="Times New Roman"/>
                      <w:sz w:val="24"/>
                      <w:szCs w:val="24"/>
                    </w:rPr>
                  </w:pPr>
                </w:p>
              </w:tc>
              <w:tc>
                <w:tcPr>
                  <w:tcW w:w="3747" w:type="dxa"/>
                  <w:noWrap w:val="0"/>
                  <w:vAlign w:val="center"/>
                </w:tcPr>
                <w:p>
                  <w:pPr>
                    <w:bidi w:val="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sz w:val="24"/>
                      <w:szCs w:val="24"/>
                      <w:lang w:val="en-US" w:eastAsia="zh-CN"/>
                    </w:rPr>
                    <w:t>经调查，</w:t>
                  </w:r>
                  <w:r>
                    <w:rPr>
                      <w:rFonts w:hint="eastAsia" w:ascii="Times New Roman" w:hAnsi="Times New Roman" w:eastAsia="宋体" w:cs="Times New Roman"/>
                      <w:sz w:val="24"/>
                      <w:szCs w:val="24"/>
                      <w:lang w:val="en-US" w:eastAsia="zh-CN"/>
                    </w:rPr>
                    <w:t>本项目生产过程产生的固废主要为除尘器收集粉尘、沉淀池废渣和生活垃圾。</w:t>
                  </w:r>
                  <w:r>
                    <w:rPr>
                      <w:rFonts w:hint="default" w:ascii="Times New Roman" w:hAnsi="Times New Roman" w:eastAsia="宋体" w:cs="Times New Roman"/>
                      <w:sz w:val="24"/>
                      <w:szCs w:val="24"/>
                      <w:lang w:val="en-US" w:eastAsia="zh-CN"/>
                    </w:rPr>
                    <w:t>企业严格落实固废污染防治措施，严格按照固体废物“减量化、资源化、无害化"原则进行处理。</w:t>
                  </w:r>
                  <w:r>
                    <w:rPr>
                      <w:rFonts w:hint="eastAsia" w:ascii="Times New Roman" w:hAnsi="Times New Roman" w:eastAsia="宋体" w:cs="Times New Roman"/>
                      <w:sz w:val="24"/>
                      <w:szCs w:val="24"/>
                      <w:lang w:val="en-US" w:eastAsia="zh-CN"/>
                    </w:rPr>
                    <w:t>生活垃圾定期交由环卫部门清运；除尘器收集粉尘全部回用于生产；沉淀池废渣定期清掏后国用于生产；废弃砂石料集中收集后综合利用。</w:t>
                  </w:r>
                </w:p>
              </w:tc>
            </w:tr>
          </w:tbl>
          <w:p>
            <w:pPr>
              <w:pStyle w:val="6"/>
              <w:widowControl w:val="0"/>
              <w:rPr>
                <w:rFonts w:hint="eastAsia" w:ascii="宋体" w:hAnsi="宋体" w:eastAsia="宋体" w:cs="宋体"/>
                <w:color w:val="auto"/>
                <w:lang w:eastAsia="zh-CN"/>
              </w:rPr>
            </w:pPr>
            <w:bookmarkStart w:id="113" w:name="_Toc21824"/>
            <w:r>
              <w:rPr>
                <w:rFonts w:hint="eastAsia" w:ascii="宋体" w:hAnsi="宋体" w:eastAsia="宋体" w:cs="宋体"/>
                <w:color w:val="auto"/>
                <w:lang w:val="en-US" w:eastAsia="zh-CN"/>
              </w:rPr>
              <w:t xml:space="preserve">7.2 </w:t>
            </w:r>
            <w:r>
              <w:rPr>
                <w:rFonts w:hint="eastAsia" w:ascii="宋体" w:hAnsi="宋体" w:eastAsia="宋体" w:cs="宋体"/>
                <w:color w:val="auto"/>
                <w:lang w:eastAsia="zh-CN"/>
              </w:rPr>
              <w:t>建设项目“三同时“落实情况</w:t>
            </w:r>
            <w:bookmarkEnd w:id="113"/>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cs="宋体"/>
                <w:b w:val="0"/>
                <w:bCs w:val="0"/>
                <w:color w:val="auto"/>
                <w:sz w:val="24"/>
                <w:szCs w:val="24"/>
                <w:lang w:eastAsia="zh-CN"/>
              </w:rPr>
              <w:t>巴州好绿筑科技有限公司</w:t>
            </w:r>
            <w:r>
              <w:rPr>
                <w:rFonts w:hint="eastAsia" w:ascii="宋体" w:hAnsi="宋体" w:eastAsia="宋体" w:cs="宋体"/>
                <w:bCs/>
                <w:color w:val="auto"/>
                <w:sz w:val="24"/>
                <w:szCs w:val="24"/>
                <w:lang w:eastAsia="zh-CN"/>
              </w:rPr>
              <w:t>于</w:t>
            </w:r>
            <w:r>
              <w:rPr>
                <w:rFonts w:hint="eastAsia" w:ascii="宋体" w:hAnsi="宋体" w:eastAsia="宋体" w:cs="宋体"/>
                <w:color w:val="auto"/>
                <w:sz w:val="24"/>
                <w:szCs w:val="24"/>
                <w:lang w:val="en-US" w:eastAsia="zh-CN"/>
              </w:rPr>
              <w:t>20</w:t>
            </w:r>
            <w:r>
              <w:rPr>
                <w:rFonts w:hint="eastAsia" w:ascii="宋体" w:hAnsi="宋体" w:cs="宋体"/>
                <w:color w:val="auto"/>
                <w:sz w:val="24"/>
                <w:szCs w:val="24"/>
                <w:lang w:val="en-US" w:eastAsia="zh-CN"/>
              </w:rPr>
              <w:t>21</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委托</w:t>
            </w:r>
            <w:r>
              <w:rPr>
                <w:rFonts w:hint="eastAsia" w:ascii="宋体" w:hAnsi="宋体" w:cs="宋体"/>
                <w:color w:val="auto"/>
                <w:sz w:val="24"/>
                <w:szCs w:val="24"/>
                <w:lang w:eastAsia="zh-CN"/>
              </w:rPr>
              <w:t>新疆中测环保科技有限公司</w:t>
            </w:r>
            <w:r>
              <w:rPr>
                <w:rFonts w:hint="eastAsia" w:ascii="宋体" w:hAnsi="宋体" w:eastAsia="宋体" w:cs="宋体"/>
                <w:color w:val="auto"/>
                <w:sz w:val="24"/>
                <w:szCs w:val="24"/>
              </w:rPr>
              <w:t>编制完成了</w:t>
            </w:r>
            <w:r>
              <w:rPr>
                <w:rFonts w:hint="eastAsia" w:ascii="宋体" w:hAnsi="宋体" w:eastAsia="宋体" w:cs="宋体"/>
                <w:color w:val="auto"/>
                <w:sz w:val="24"/>
                <w:szCs w:val="24"/>
                <w:lang w:eastAsia="zh-CN"/>
              </w:rPr>
              <w:t>《</w:t>
            </w:r>
            <w:r>
              <w:rPr>
                <w:rFonts w:hint="eastAsia" w:ascii="宋体" w:hAnsi="宋体" w:cs="宋体"/>
                <w:b w:val="0"/>
                <w:bCs w:val="0"/>
                <w:color w:val="auto"/>
                <w:sz w:val="24"/>
                <w:szCs w:val="24"/>
                <w:lang w:eastAsia="zh-CN"/>
              </w:rPr>
              <w:t>巴州好绿筑科技有限公司绿色装配式建筑产业园建设项目（一期）环境影响报告表</w:t>
            </w:r>
            <w:r>
              <w:rPr>
                <w:rFonts w:hint="eastAsia" w:ascii="宋体" w:hAnsi="宋体" w:eastAsia="宋体" w:cs="宋体"/>
                <w:color w:val="auto"/>
                <w:sz w:val="24"/>
                <w:szCs w:val="24"/>
              </w:rPr>
              <w:t>》并</w:t>
            </w:r>
            <w:r>
              <w:rPr>
                <w:rFonts w:hint="eastAsia" w:ascii="宋体" w:hAnsi="宋体" w:eastAsia="宋体" w:cs="宋体"/>
                <w:color w:val="auto"/>
                <w:sz w:val="24"/>
                <w:szCs w:val="24"/>
                <w:lang w:eastAsia="zh-CN"/>
              </w:rPr>
              <w:t>于</w:t>
            </w:r>
            <w:r>
              <w:rPr>
                <w:rFonts w:hint="eastAsia" w:ascii="宋体" w:hAnsi="宋体" w:cs="宋体"/>
                <w:color w:val="auto"/>
                <w:sz w:val="24"/>
                <w:szCs w:val="24"/>
                <w:lang w:eastAsia="zh-CN"/>
              </w:rPr>
              <w:t>202</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年6月</w:t>
            </w:r>
            <w:r>
              <w:rPr>
                <w:rFonts w:hint="eastAsia" w:ascii="宋体" w:hAnsi="宋体" w:cs="宋体"/>
                <w:color w:val="auto"/>
                <w:sz w:val="24"/>
                <w:szCs w:val="24"/>
                <w:lang w:val="en-US" w:eastAsia="zh-CN"/>
              </w:rPr>
              <w:t>24</w:t>
            </w:r>
            <w:r>
              <w:rPr>
                <w:rFonts w:hint="eastAsia" w:ascii="宋体" w:hAnsi="宋体" w:cs="宋体"/>
                <w:color w:val="auto"/>
                <w:sz w:val="24"/>
                <w:szCs w:val="24"/>
                <w:lang w:eastAsia="zh-CN"/>
              </w:rPr>
              <w:t>日</w:t>
            </w:r>
            <w:r>
              <w:rPr>
                <w:rFonts w:hint="eastAsia" w:ascii="宋体" w:hAnsi="宋体" w:eastAsia="宋体" w:cs="宋体"/>
                <w:color w:val="auto"/>
                <w:sz w:val="24"/>
                <w:szCs w:val="24"/>
                <w:lang w:eastAsia="zh-CN"/>
              </w:rPr>
              <w:t>取得</w:t>
            </w:r>
            <w:r>
              <w:rPr>
                <w:rFonts w:hint="eastAsia" w:ascii="宋体" w:hAnsi="宋体" w:cs="宋体"/>
                <w:color w:val="auto"/>
                <w:sz w:val="24"/>
                <w:szCs w:val="24"/>
                <w:lang w:eastAsia="zh-CN"/>
              </w:rPr>
              <w:t>库尔勒经济技术开发区环保局</w:t>
            </w:r>
            <w:r>
              <w:rPr>
                <w:rFonts w:hint="eastAsia" w:ascii="宋体" w:hAnsi="宋体" w:eastAsia="宋体" w:cs="宋体"/>
                <w:color w:val="auto"/>
                <w:sz w:val="24"/>
                <w:szCs w:val="24"/>
              </w:rPr>
              <w:t>关于对</w:t>
            </w:r>
            <w:r>
              <w:rPr>
                <w:rFonts w:hint="eastAsia" w:ascii="宋体" w:hAnsi="宋体" w:eastAsia="宋体" w:cs="宋体"/>
                <w:color w:val="auto"/>
                <w:sz w:val="24"/>
                <w:szCs w:val="24"/>
                <w:lang w:eastAsia="zh-CN"/>
              </w:rPr>
              <w:t>《</w:t>
            </w:r>
            <w:r>
              <w:rPr>
                <w:rFonts w:hint="eastAsia" w:ascii="宋体" w:hAnsi="宋体" w:cs="宋体"/>
                <w:b w:val="0"/>
                <w:bCs w:val="0"/>
                <w:color w:val="auto"/>
                <w:sz w:val="24"/>
                <w:szCs w:val="24"/>
                <w:lang w:eastAsia="zh-CN"/>
              </w:rPr>
              <w:t>巴州好绿筑科技有限公司绿色装配式建筑产业园建设项目（一期）环境影响报告表</w:t>
            </w:r>
            <w:r>
              <w:rPr>
                <w:rFonts w:hint="eastAsia" w:ascii="宋体" w:hAnsi="宋体" w:eastAsia="宋体" w:cs="宋体"/>
                <w:color w:val="auto"/>
                <w:sz w:val="24"/>
                <w:szCs w:val="24"/>
              </w:rPr>
              <w:t>的</w:t>
            </w:r>
            <w:r>
              <w:rPr>
                <w:rFonts w:hint="eastAsia" w:ascii="宋体" w:hAnsi="宋体" w:cs="宋体"/>
                <w:color w:val="auto"/>
                <w:sz w:val="24"/>
                <w:szCs w:val="24"/>
                <w:lang w:val="en-US" w:eastAsia="zh-CN"/>
              </w:rPr>
              <w:t>批复</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库开环评价函〔2021〕7号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lang w:val="en-US" w:eastAsia="zh-CN"/>
              </w:rPr>
              <w:t>委托</w:t>
            </w:r>
            <w:r>
              <w:rPr>
                <w:rFonts w:hint="eastAsia" w:ascii="宋体" w:hAnsi="宋体" w:cs="宋体"/>
                <w:color w:val="auto"/>
                <w:sz w:val="24"/>
                <w:szCs w:val="24"/>
                <w:lang w:val="en-US" w:eastAsia="zh-CN"/>
              </w:rPr>
              <w:t>新疆中测测试有限责任公司</w:t>
            </w:r>
            <w:r>
              <w:rPr>
                <w:rFonts w:hint="eastAsia" w:ascii="宋体" w:hAnsi="宋体" w:eastAsia="宋体" w:cs="宋体"/>
                <w:color w:val="auto"/>
                <w:sz w:val="24"/>
                <w:szCs w:val="24"/>
                <w:lang w:val="en-US" w:eastAsia="zh-CN"/>
              </w:rPr>
              <w:t>进行该项目的竣工环境保护验收调查工作，</w:t>
            </w:r>
            <w:r>
              <w:rPr>
                <w:rFonts w:hint="eastAsia" w:ascii="宋体" w:hAnsi="宋体" w:eastAsia="宋体" w:cs="宋体"/>
                <w:color w:val="auto"/>
                <w:sz w:val="24"/>
                <w:szCs w:val="24"/>
              </w:rPr>
              <w:t>目前项目已完成环评批复全部建设内容</w:t>
            </w:r>
            <w:r>
              <w:rPr>
                <w:rFonts w:hint="eastAsia" w:ascii="宋体" w:hAnsi="宋体" w:eastAsia="宋体" w:cs="宋体"/>
                <w:color w:val="auto"/>
                <w:sz w:val="24"/>
                <w:szCs w:val="24"/>
                <w:lang w:eastAsia="zh-CN"/>
              </w:rPr>
              <w:t>，我司</w:t>
            </w:r>
            <w:r>
              <w:rPr>
                <w:rFonts w:hint="eastAsia" w:ascii="宋体" w:hAnsi="宋体" w:eastAsia="宋体" w:cs="宋体"/>
                <w:color w:val="auto"/>
                <w:sz w:val="24"/>
                <w:szCs w:val="24"/>
              </w:rPr>
              <w:t>于</w:t>
            </w:r>
            <w:r>
              <w:rPr>
                <w:rFonts w:hint="eastAsia" w:ascii="宋体" w:hAnsi="宋体" w:cs="宋体"/>
                <w:color w:val="auto"/>
                <w:sz w:val="24"/>
                <w:szCs w:val="24"/>
                <w:lang w:eastAsia="zh-CN"/>
              </w:rPr>
              <w:t>202</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17</w:t>
            </w:r>
            <w:r>
              <w:rPr>
                <w:rFonts w:hint="eastAsia" w:ascii="宋体" w:hAnsi="宋体" w:cs="宋体"/>
                <w:color w:val="auto"/>
                <w:sz w:val="24"/>
                <w:szCs w:val="24"/>
                <w:lang w:eastAsia="zh-CN"/>
              </w:rPr>
              <w:t>日</w:t>
            </w:r>
            <w:r>
              <w:rPr>
                <w:rFonts w:hint="eastAsia" w:ascii="宋体" w:hAnsi="宋体" w:eastAsia="宋体" w:cs="宋体"/>
                <w:color w:val="auto"/>
                <w:sz w:val="24"/>
                <w:szCs w:val="24"/>
              </w:rPr>
              <w:t>开展了现场验收监测及调查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具体调查情况如下</w:t>
            </w:r>
            <w:r>
              <w:rPr>
                <w:rFonts w:hint="eastAsia" w:ascii="宋体" w:hAnsi="宋体" w:eastAsia="宋体" w:cs="宋体"/>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lang w:eastAsia="zh-CN"/>
              </w:rPr>
              <w:t>）废水：</w:t>
            </w:r>
            <w:r>
              <w:rPr>
                <w:rFonts w:hint="default" w:ascii="Times New Roman" w:hAnsi="Times New Roman" w:eastAsia="宋体" w:cs="Times New Roman"/>
                <w:sz w:val="24"/>
                <w:szCs w:val="24"/>
              </w:rPr>
              <w:t>营运期食堂含油废水经</w:t>
            </w:r>
            <w:r>
              <w:rPr>
                <w:rFonts w:hint="eastAsia" w:ascii="Times New Roman" w:hAnsi="Times New Roman" w:eastAsia="宋体" w:cs="Times New Roman"/>
                <w:sz w:val="24"/>
                <w:szCs w:val="24"/>
                <w:lang w:val="en-US" w:eastAsia="zh-CN"/>
              </w:rPr>
              <w:t>化粪池</w:t>
            </w:r>
            <w:r>
              <w:rPr>
                <w:rFonts w:hint="default" w:ascii="Times New Roman" w:hAnsi="Times New Roman" w:eastAsia="宋体" w:cs="Times New Roman"/>
                <w:sz w:val="24"/>
                <w:szCs w:val="24"/>
              </w:rPr>
              <w:t>处理后</w:t>
            </w:r>
            <w:r>
              <w:rPr>
                <w:rFonts w:hint="eastAsia" w:ascii="Times New Roman" w:hAnsi="Times New Roman" w:cs="Times New Roman"/>
                <w:sz w:val="24"/>
                <w:szCs w:val="24"/>
                <w:lang w:val="en-US" w:eastAsia="zh-CN"/>
              </w:rPr>
              <w:t>排入化粪池</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营运期生产废水主要是生产过程清洗废水，经沉淀池沉淀后回用于生产，不外排。</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both"/>
              <w:textAlignment w:val="auto"/>
              <w:outlineLvl w:val="0"/>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（2）有组织</w:t>
            </w:r>
            <w:r>
              <w:rPr>
                <w:rFonts w:hint="eastAsia" w:ascii="宋体" w:hAnsi="宋体" w:cs="宋体"/>
                <w:b w:val="0"/>
                <w:bCs w:val="0"/>
                <w:color w:val="auto"/>
                <w:sz w:val="24"/>
                <w:szCs w:val="24"/>
                <w:lang w:eastAsia="zh-CN"/>
              </w:rPr>
              <w:t>废气：</w:t>
            </w:r>
            <w:r>
              <w:rPr>
                <w:rFonts w:hint="default" w:ascii="Times New Roman" w:hAnsi="Times New Roman" w:eastAsia="宋体" w:cs="Times New Roman"/>
                <w:sz w:val="24"/>
                <w:szCs w:val="24"/>
                <w:lang w:val="en-US" w:eastAsia="zh-CN"/>
              </w:rPr>
              <w:t>本项目废气主要是搅拌工序废气和水泥筒仓、粉煤灰筒仓和矿粉筒仓呼吸孔废气以及厂界无组织粉尘：（1）本项目搅拌楼选用120型混凝土搅拌站，该混凝土搅拌机为密封装置，产生的粉尘全部采用自带的主动式除尘器进行除尘，在搅拌机内回用，无排气口。（2）水泥筒仓、粉煤灰筒仓和矿粉筒仓呼吸孔废气：水泥、粉煤灰和矿粉</w:t>
            </w:r>
            <w:r>
              <w:rPr>
                <w:rFonts w:hint="eastAsia" w:ascii="Times New Roman" w:hAnsi="Times New Roman" w:eastAsia="宋体" w:cs="Times New Roman"/>
                <w:sz w:val="24"/>
                <w:szCs w:val="24"/>
                <w:lang w:val="en-US" w:eastAsia="zh-CN"/>
              </w:rPr>
              <w:t>在</w:t>
            </w:r>
            <w:r>
              <w:rPr>
                <w:rFonts w:hint="default" w:ascii="Times New Roman" w:hAnsi="Times New Roman" w:eastAsia="宋体" w:cs="Times New Roman"/>
                <w:sz w:val="24"/>
                <w:szCs w:val="24"/>
                <w:lang w:val="en-US" w:eastAsia="zh-CN"/>
              </w:rPr>
              <w:t>进入筒仓时在其顶部排气孔有少量颗粒物排出，每个筒仓排气孔装有自带的脉冲反吹式袋式除尘器，且筒仓全部设置在密封厂房内，废气排放对环境影响不大。（3）由监测结果可知，本项目厂界无组织颗粒物最大值0.2</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，满足《大气污染物排放标准》（GB16297-1996）无组织颗粒物排放浓度限值（1.0mg/m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噪声：本项目噪声源主要为各设备运行时产生的噪声，设备噪音经有效地减震、建筑隔声和距离衰减，且夜间不生产等措施后符合《工业企业厂界环境噪声排放标准》(GB12348-2008)3类标准要求，噪声对环境影响不大。</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固体废物：本项目生产过程产生的固废主要为除尘器收集粉尘、沉淀池废渣和生活垃圾。生活垃圾定期交由环卫部门清运；除尘器收集粉尘全部回用于生产，沉淀池废渣定期清掏后回用于生产；废弃砂石料集中收集后综合利用。</w:t>
            </w:r>
          </w:p>
          <w:p>
            <w:pPr>
              <w:widowControl w:val="0"/>
              <w:bidi w:val="0"/>
              <w:ind w:firstLine="480" w:firstLineChars="200"/>
              <w:jc w:val="both"/>
              <w:rPr>
                <w:rFonts w:hint="eastAsia" w:ascii="宋体" w:hAnsi="宋体" w:eastAsia="宋体" w:cs="宋体"/>
                <w:color w:val="auto"/>
                <w:sz w:val="24"/>
                <w:szCs w:val="24"/>
                <w:lang w:val="en-US" w:eastAsia="zh-CN"/>
              </w:rPr>
            </w:pPr>
          </w:p>
          <w:p>
            <w:pPr>
              <w:widowControl w:val="0"/>
              <w:adjustRightInd w:val="0"/>
              <w:snapToGrid w:val="0"/>
              <w:spacing w:line="360" w:lineRule="auto"/>
              <w:ind w:firstLine="480" w:firstLineChars="200"/>
              <w:rPr>
                <w:rFonts w:hint="eastAsia" w:ascii="宋体" w:hAnsi="宋体" w:eastAsia="宋体" w:cs="宋体"/>
                <w:color w:val="auto"/>
                <w:sz w:val="24"/>
              </w:rPr>
            </w:pPr>
          </w:p>
          <w:p>
            <w:pPr>
              <w:pStyle w:val="6"/>
              <w:widowControl w:val="0"/>
              <w:rPr>
                <w:rFonts w:hint="eastAsia" w:ascii="宋体" w:hAnsi="宋体" w:eastAsia="宋体" w:cs="宋体"/>
                <w:color w:val="auto"/>
                <w:vertAlign w:val="baseline"/>
                <w:lang w:val="en-US" w:eastAsia="zh-CN"/>
              </w:rPr>
            </w:pPr>
          </w:p>
        </w:tc>
      </w:tr>
    </w:tbl>
    <w:p>
      <w:pPr>
        <w:bidi w:val="0"/>
        <w:rPr>
          <w:rFonts w:hint="eastAsia" w:ascii="宋体" w:hAnsi="宋体" w:eastAsia="宋体" w:cs="宋体"/>
          <w:color w:val="auto"/>
          <w:lang w:val="en-US" w:eastAsia="zh-CN"/>
        </w:rPr>
      </w:pPr>
    </w:p>
    <w:bookmarkEnd w:id="110"/>
    <w:p>
      <w:pPr>
        <w:pStyle w:val="5"/>
        <w:bidi w:val="0"/>
        <w:rPr>
          <w:rFonts w:hint="eastAsia" w:ascii="宋体" w:hAnsi="宋体" w:eastAsia="宋体" w:cs="宋体"/>
          <w:color w:val="auto"/>
          <w:lang w:val="en-US" w:eastAsia="zh-CN"/>
        </w:rPr>
      </w:pPr>
      <w:bookmarkStart w:id="114" w:name="_Toc26995"/>
      <w:r>
        <w:rPr>
          <w:rFonts w:hint="eastAsia" w:ascii="宋体" w:hAnsi="宋体" w:eastAsia="宋体" w:cs="宋体"/>
          <w:color w:val="auto"/>
          <w:lang w:val="en-US" w:eastAsia="zh-CN"/>
        </w:rPr>
        <w:t xml:space="preserve">表八 </w:t>
      </w:r>
      <w:r>
        <w:rPr>
          <w:rFonts w:hint="eastAsia" w:ascii="宋体" w:hAnsi="宋体" w:eastAsia="宋体" w:cs="宋体"/>
          <w:color w:val="auto"/>
          <w:lang w:eastAsia="zh-CN"/>
        </w:rPr>
        <w:t>验收监测</w:t>
      </w:r>
      <w:r>
        <w:rPr>
          <w:rFonts w:hint="eastAsia" w:ascii="宋体" w:hAnsi="宋体" w:eastAsia="宋体" w:cs="宋体"/>
          <w:color w:val="auto"/>
        </w:rPr>
        <w:t>结论</w:t>
      </w:r>
      <w:r>
        <w:rPr>
          <w:rFonts w:hint="eastAsia" w:ascii="宋体" w:hAnsi="宋体" w:eastAsia="宋体" w:cs="宋体"/>
          <w:color w:val="auto"/>
          <w:lang w:eastAsia="zh-CN"/>
        </w:rPr>
        <w:t>及</w:t>
      </w:r>
      <w:r>
        <w:rPr>
          <w:rFonts w:hint="eastAsia" w:ascii="宋体" w:hAnsi="宋体" w:eastAsia="宋体" w:cs="宋体"/>
          <w:color w:val="auto"/>
        </w:rPr>
        <w:t>建议</w:t>
      </w:r>
      <w:bookmarkEnd w:id="114"/>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2" w:hRule="atLeast"/>
        </w:trPr>
        <w:tc>
          <w:tcPr>
            <w:tcW w:w="8516" w:type="dxa"/>
            <w:noWrap w:val="0"/>
            <w:vAlign w:val="top"/>
          </w:tcPr>
          <w:p>
            <w:pPr>
              <w:pStyle w:val="6"/>
              <w:widowControl w:val="0"/>
              <w:bidi w:val="0"/>
              <w:rPr>
                <w:rFonts w:hint="eastAsia" w:ascii="宋体" w:hAnsi="宋体" w:eastAsia="宋体" w:cs="宋体"/>
                <w:color w:val="auto"/>
              </w:rPr>
            </w:pPr>
            <w:bookmarkStart w:id="115" w:name="_Toc12309"/>
            <w:bookmarkStart w:id="116" w:name="_Toc9110"/>
            <w:r>
              <w:rPr>
                <w:rFonts w:hint="eastAsia" w:ascii="宋体" w:hAnsi="宋体" w:eastAsia="宋体" w:cs="宋体"/>
                <w:color w:val="auto"/>
                <w:lang w:val="en-US" w:eastAsia="zh-CN"/>
              </w:rPr>
              <w:t>8</w:t>
            </w:r>
            <w:r>
              <w:rPr>
                <w:rFonts w:hint="eastAsia" w:ascii="宋体" w:hAnsi="宋体" w:eastAsia="宋体" w:cs="宋体"/>
                <w:color w:val="auto"/>
                <w:lang w:eastAsia="zh-CN"/>
              </w:rPr>
              <w:t>.</w:t>
            </w:r>
            <w:r>
              <w:rPr>
                <w:rFonts w:hint="eastAsia" w:ascii="宋体" w:hAnsi="宋体" w:eastAsia="宋体" w:cs="宋体"/>
                <w:color w:val="auto"/>
              </w:rPr>
              <w:t>1</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验收</w:t>
            </w:r>
            <w:r>
              <w:rPr>
                <w:rFonts w:hint="eastAsia" w:ascii="宋体" w:hAnsi="宋体" w:eastAsia="宋体" w:cs="宋体"/>
                <w:color w:val="auto"/>
              </w:rPr>
              <w:t>监测结论</w:t>
            </w:r>
            <w:bookmarkEnd w:id="115"/>
            <w:bookmarkEnd w:id="116"/>
          </w:p>
          <w:p>
            <w:pPr>
              <w:widowControl w:val="0"/>
              <w:spacing w:line="360" w:lineRule="auto"/>
              <w:ind w:firstLine="480" w:firstLineChars="200"/>
              <w:rPr>
                <w:rFonts w:hint="eastAsia" w:ascii="宋体" w:hAnsi="宋体" w:eastAsia="宋体" w:cs="宋体"/>
                <w:color w:val="auto"/>
                <w:lang w:eastAsia="zh-CN"/>
              </w:rPr>
            </w:pPr>
            <w:r>
              <w:rPr>
                <w:rFonts w:hint="eastAsia" w:ascii="宋体" w:hAnsi="宋体" w:cs="宋体"/>
                <w:color w:val="auto"/>
                <w:lang w:eastAsia="zh-CN"/>
              </w:rPr>
              <w:t>巴州好绿筑科技有限公司绿色装配式建筑产业园建设项目（一期）</w:t>
            </w:r>
            <w:r>
              <w:rPr>
                <w:rFonts w:hint="eastAsia" w:ascii="宋体" w:hAnsi="宋体" w:eastAsia="宋体" w:cs="宋体"/>
                <w:color w:val="auto"/>
                <w:lang w:eastAsia="zh-CN"/>
              </w:rPr>
              <w:t>于</w:t>
            </w:r>
            <w:r>
              <w:rPr>
                <w:rFonts w:hint="eastAsia" w:ascii="宋体" w:hAnsi="宋体" w:cs="宋体"/>
                <w:color w:val="auto"/>
                <w:lang w:val="en-US" w:eastAsia="zh-CN"/>
              </w:rPr>
              <w:t>2021年5月</w:t>
            </w:r>
            <w:r>
              <w:rPr>
                <w:rFonts w:hint="eastAsia" w:ascii="宋体" w:hAnsi="宋体" w:eastAsia="宋体" w:cs="宋体"/>
                <w:color w:val="auto"/>
                <w:lang w:eastAsia="zh-CN"/>
              </w:rPr>
              <w:t>由</w:t>
            </w:r>
            <w:r>
              <w:rPr>
                <w:rFonts w:hint="eastAsia" w:ascii="宋体" w:hAnsi="宋体" w:cs="宋体"/>
                <w:color w:val="auto"/>
                <w:lang w:val="en-US" w:eastAsia="zh-CN"/>
              </w:rPr>
              <w:t>新疆中测环保科技有限公司</w:t>
            </w:r>
            <w:r>
              <w:rPr>
                <w:rFonts w:hint="eastAsia" w:ascii="宋体" w:hAnsi="宋体" w:eastAsia="宋体" w:cs="宋体"/>
                <w:color w:val="auto"/>
              </w:rPr>
              <w:t>编制完成了</w:t>
            </w:r>
            <w:r>
              <w:rPr>
                <w:rFonts w:hint="eastAsia" w:ascii="宋体" w:hAnsi="宋体" w:eastAsia="宋体" w:cs="宋体"/>
                <w:color w:val="auto"/>
                <w:lang w:eastAsia="zh-CN"/>
              </w:rPr>
              <w:t>《</w:t>
            </w:r>
            <w:r>
              <w:rPr>
                <w:rFonts w:hint="eastAsia" w:ascii="宋体" w:hAnsi="宋体" w:cs="宋体"/>
                <w:color w:val="auto"/>
                <w:lang w:eastAsia="zh-CN"/>
              </w:rPr>
              <w:t>巴州好绿筑科技有限公司绿色装配式建筑产业园建设项目（一期）环境影响报告表</w:t>
            </w:r>
            <w:r>
              <w:rPr>
                <w:rFonts w:hint="eastAsia" w:ascii="宋体" w:hAnsi="宋体" w:eastAsia="宋体" w:cs="宋体"/>
                <w:color w:val="auto"/>
              </w:rPr>
              <w:t>》并</w:t>
            </w:r>
            <w:r>
              <w:rPr>
                <w:rFonts w:hint="eastAsia" w:ascii="宋体" w:hAnsi="宋体" w:eastAsia="宋体" w:cs="宋体"/>
                <w:color w:val="auto"/>
                <w:lang w:eastAsia="zh-CN"/>
              </w:rPr>
              <w:t>于</w:t>
            </w:r>
            <w:r>
              <w:rPr>
                <w:rFonts w:hint="eastAsia" w:ascii="宋体" w:hAnsi="宋体" w:cs="宋体"/>
                <w:color w:val="auto"/>
                <w:lang w:eastAsia="zh-CN"/>
              </w:rPr>
              <w:t>2021年6月24日</w:t>
            </w:r>
            <w:r>
              <w:rPr>
                <w:rFonts w:hint="eastAsia" w:ascii="宋体" w:hAnsi="宋体" w:eastAsia="宋体" w:cs="宋体"/>
                <w:color w:val="auto"/>
                <w:lang w:eastAsia="zh-CN"/>
              </w:rPr>
              <w:t>取得</w:t>
            </w:r>
            <w:r>
              <w:rPr>
                <w:rFonts w:hint="eastAsia" w:ascii="宋体" w:hAnsi="宋体" w:eastAsia="宋体" w:cs="宋体"/>
                <w:color w:val="auto"/>
              </w:rPr>
              <w:t>关于对</w:t>
            </w:r>
            <w:r>
              <w:rPr>
                <w:rFonts w:hint="eastAsia" w:ascii="宋体" w:hAnsi="宋体" w:eastAsia="宋体" w:cs="宋体"/>
                <w:color w:val="auto"/>
                <w:lang w:eastAsia="zh-CN"/>
              </w:rPr>
              <w:t>《</w:t>
            </w:r>
            <w:r>
              <w:rPr>
                <w:rFonts w:hint="eastAsia" w:ascii="宋体" w:hAnsi="宋体" w:cs="宋体"/>
                <w:color w:val="auto"/>
                <w:lang w:eastAsia="zh-CN"/>
              </w:rPr>
              <w:t>巴州好绿筑科技有限公司绿色装配式建筑产业园建设项目（一期）环境影响报告表</w:t>
            </w:r>
            <w:r>
              <w:rPr>
                <w:rFonts w:hint="eastAsia" w:ascii="宋体" w:hAnsi="宋体" w:eastAsia="宋体" w:cs="宋体"/>
                <w:color w:val="auto"/>
              </w:rPr>
              <w:t>》的</w:t>
            </w:r>
            <w:r>
              <w:rPr>
                <w:rFonts w:hint="eastAsia" w:ascii="宋体" w:hAnsi="宋体" w:eastAsia="宋体" w:cs="宋体"/>
                <w:color w:val="auto"/>
                <w:lang w:val="en-US" w:eastAsia="zh-CN"/>
              </w:rPr>
              <w:t>批复</w:t>
            </w:r>
            <w:r>
              <w:rPr>
                <w:rFonts w:hint="eastAsia" w:ascii="宋体" w:hAnsi="宋体" w:eastAsia="宋体" w:cs="宋体"/>
                <w:color w:val="auto"/>
                <w:lang w:eastAsia="zh-CN"/>
              </w:rPr>
              <w:t>（</w:t>
            </w:r>
            <w:r>
              <w:rPr>
                <w:rFonts w:hint="eastAsia" w:ascii="宋体" w:hAnsi="宋体" w:cs="宋体"/>
                <w:color w:val="auto"/>
                <w:sz w:val="24"/>
                <w:szCs w:val="24"/>
                <w:lang w:eastAsia="zh-CN"/>
              </w:rPr>
              <w:t>库开环评价函〔2021〕7号</w:t>
            </w:r>
            <w:r>
              <w:rPr>
                <w:rFonts w:hint="eastAsia" w:ascii="宋体" w:hAnsi="宋体" w:eastAsia="宋体" w:cs="宋体"/>
                <w:color w:val="auto"/>
                <w:lang w:eastAsia="zh-CN"/>
              </w:rPr>
              <w:t>）</w:t>
            </w:r>
            <w:r>
              <w:rPr>
                <w:rFonts w:hint="eastAsia" w:ascii="宋体" w:hAnsi="宋体" w:eastAsia="宋体" w:cs="宋体"/>
                <w:color w:val="auto"/>
              </w:rPr>
              <w:t>。</w:t>
            </w:r>
            <w:r>
              <w:rPr>
                <w:rFonts w:hint="eastAsia" w:ascii="宋体" w:hAnsi="宋体" w:eastAsia="宋体" w:cs="宋体"/>
                <w:color w:val="auto"/>
                <w:lang w:eastAsia="zh-CN"/>
              </w:rPr>
              <w:t>根据新疆中测测试有限责任公司</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2</w:t>
            </w:r>
            <w:r>
              <w:rPr>
                <w:rFonts w:hint="eastAsia" w:ascii="宋体" w:hAnsi="宋体" w:eastAsia="宋体" w:cs="宋体"/>
                <w:color w:val="auto"/>
                <w:highlight w:val="none"/>
              </w:rPr>
              <w:t>年</w:t>
            </w:r>
            <w:r>
              <w:rPr>
                <w:rFonts w:hint="eastAsia" w:ascii="宋体" w:hAnsi="宋体" w:cs="宋体"/>
                <w:color w:val="auto"/>
                <w:highlight w:val="none"/>
                <w:lang w:val="en-US" w:eastAsia="zh-CN"/>
              </w:rPr>
              <w:t>4</w:t>
            </w:r>
            <w:r>
              <w:rPr>
                <w:rFonts w:hint="eastAsia" w:ascii="宋体" w:hAnsi="宋体" w:eastAsia="宋体" w:cs="宋体"/>
                <w:color w:val="auto"/>
                <w:highlight w:val="none"/>
              </w:rPr>
              <w:t>月</w:t>
            </w:r>
            <w:r>
              <w:rPr>
                <w:rFonts w:hint="eastAsia" w:ascii="宋体" w:hAnsi="宋体" w:eastAsia="宋体" w:cs="宋体"/>
                <w:color w:val="auto"/>
              </w:rPr>
              <w:t>对本项目</w:t>
            </w:r>
            <w:r>
              <w:rPr>
                <w:rFonts w:hint="eastAsia" w:ascii="宋体" w:hAnsi="宋体" w:cs="宋体"/>
                <w:color w:val="auto"/>
                <w:lang w:val="en-US" w:eastAsia="zh-CN"/>
              </w:rPr>
              <w:t>废气、</w:t>
            </w:r>
            <w:r>
              <w:rPr>
                <w:rFonts w:hint="eastAsia" w:ascii="宋体" w:hAnsi="宋体" w:eastAsia="宋体" w:cs="宋体"/>
                <w:color w:val="auto"/>
              </w:rPr>
              <w:t>噪声</w:t>
            </w:r>
            <w:r>
              <w:rPr>
                <w:rFonts w:hint="eastAsia" w:ascii="宋体" w:hAnsi="宋体" w:eastAsia="宋体" w:cs="宋体"/>
                <w:color w:val="auto"/>
                <w:lang w:eastAsia="zh-CN"/>
              </w:rPr>
              <w:t>、固体废物的</w:t>
            </w:r>
            <w:r>
              <w:rPr>
                <w:rFonts w:hint="eastAsia" w:ascii="宋体" w:hAnsi="宋体" w:eastAsia="宋体" w:cs="宋体"/>
                <w:color w:val="auto"/>
              </w:rPr>
              <w:t>监测和</w:t>
            </w:r>
            <w:r>
              <w:rPr>
                <w:rFonts w:hint="eastAsia" w:ascii="宋体" w:hAnsi="宋体" w:eastAsia="宋体" w:cs="宋体"/>
                <w:color w:val="auto"/>
                <w:lang w:eastAsia="zh-CN"/>
              </w:rPr>
              <w:t>调查，</w:t>
            </w:r>
            <w:r>
              <w:rPr>
                <w:rFonts w:hint="eastAsia" w:ascii="宋体" w:hAnsi="宋体" w:eastAsia="宋体" w:cs="宋体"/>
                <w:color w:val="auto"/>
              </w:rPr>
              <w:t>监测结果表明</w:t>
            </w:r>
            <w:r>
              <w:rPr>
                <w:rFonts w:hint="eastAsia" w:ascii="宋体" w:hAnsi="宋体" w:eastAsia="宋体" w:cs="宋体"/>
                <w:color w:val="auto"/>
                <w:lang w:eastAsia="zh-CN"/>
              </w:rPr>
              <w:t>：废气、</w:t>
            </w:r>
            <w:r>
              <w:rPr>
                <w:rFonts w:hint="eastAsia" w:ascii="宋体" w:hAnsi="宋体" w:eastAsia="宋体" w:cs="宋体"/>
                <w:color w:val="auto"/>
              </w:rPr>
              <w:t>噪声等测定结果均满足环评和批复排放要求</w:t>
            </w:r>
            <w:r>
              <w:rPr>
                <w:rFonts w:hint="eastAsia" w:ascii="宋体" w:hAnsi="宋体" w:eastAsia="宋体" w:cs="宋体"/>
                <w:color w:val="auto"/>
                <w:lang w:eastAsia="zh-CN"/>
              </w:rPr>
              <w:t>，</w:t>
            </w:r>
            <w:r>
              <w:rPr>
                <w:rFonts w:hint="eastAsia" w:ascii="宋体" w:hAnsi="宋体" w:eastAsia="宋体" w:cs="宋体"/>
                <w:color w:val="auto"/>
              </w:rPr>
              <w:t>项目具备验收监测条件。结论如下</w:t>
            </w:r>
            <w:r>
              <w:rPr>
                <w:rFonts w:hint="eastAsia" w:ascii="宋体" w:hAnsi="宋体" w:eastAsia="宋体" w:cs="宋体"/>
                <w:color w:val="auto"/>
                <w:lang w:eastAsia="zh-CN"/>
              </w:rPr>
              <w:t>：</w:t>
            </w:r>
          </w:p>
          <w:p>
            <w:pPr>
              <w:pStyle w:val="6"/>
              <w:widowControl w:val="0"/>
              <w:bidi w:val="0"/>
              <w:rPr>
                <w:rFonts w:hint="eastAsia" w:ascii="宋体" w:hAnsi="宋体" w:eastAsia="宋体" w:cs="宋体"/>
                <w:color w:val="auto"/>
                <w:lang w:val="en-US" w:eastAsia="zh-CN"/>
              </w:rPr>
            </w:pPr>
            <w:bookmarkStart w:id="117" w:name="_Toc6315"/>
            <w:bookmarkStart w:id="118" w:name="_Toc707"/>
            <w:bookmarkStart w:id="119" w:name="_Toc30657"/>
            <w:bookmarkStart w:id="120" w:name="_Toc32036"/>
            <w:r>
              <w:rPr>
                <w:rFonts w:hint="eastAsia" w:ascii="宋体" w:hAnsi="宋体" w:eastAsia="宋体" w:cs="宋体"/>
                <w:color w:val="auto"/>
                <w:lang w:val="en-US" w:eastAsia="zh-CN"/>
              </w:rPr>
              <w:t>8.2施工期环保措施结论</w:t>
            </w:r>
            <w:bookmarkEnd w:id="117"/>
            <w:bookmarkEnd w:id="118"/>
            <w:bookmarkEnd w:id="119"/>
            <w:bookmarkEnd w:id="120"/>
          </w:p>
          <w:p>
            <w:pPr>
              <w:widowControl w:val="0"/>
              <w:spacing w:line="360" w:lineRule="auto"/>
              <w:ind w:firstLine="480" w:firstLineChars="200"/>
              <w:rPr>
                <w:rFonts w:hint="eastAsia" w:ascii="宋体" w:hAnsi="宋体" w:eastAsia="宋体" w:cs="宋体"/>
                <w:color w:val="auto"/>
              </w:rPr>
            </w:pPr>
            <w:bookmarkStart w:id="121" w:name="_Toc32202"/>
            <w:r>
              <w:rPr>
                <w:rFonts w:hint="eastAsia" w:ascii="宋体" w:hAnsi="宋体" w:eastAsia="宋体" w:cs="宋体"/>
                <w:color w:val="auto"/>
              </w:rPr>
              <w:t>本项目已建成运营</w:t>
            </w:r>
            <w:r>
              <w:rPr>
                <w:rFonts w:hint="eastAsia" w:ascii="宋体" w:hAnsi="宋体" w:eastAsia="宋体" w:cs="宋体"/>
                <w:color w:val="auto"/>
                <w:lang w:eastAsia="zh-CN"/>
              </w:rPr>
              <w:t>，</w:t>
            </w:r>
            <w:r>
              <w:rPr>
                <w:rFonts w:hint="eastAsia" w:ascii="宋体" w:hAnsi="宋体" w:eastAsia="宋体" w:cs="宋体"/>
                <w:color w:val="auto"/>
              </w:rPr>
              <w:t>根据现场踏勘</w:t>
            </w:r>
            <w:r>
              <w:rPr>
                <w:rFonts w:hint="eastAsia" w:ascii="宋体" w:hAnsi="宋体" w:eastAsia="宋体" w:cs="宋体"/>
                <w:color w:val="auto"/>
                <w:lang w:eastAsia="zh-CN"/>
              </w:rPr>
              <w:t>，</w:t>
            </w:r>
            <w:r>
              <w:rPr>
                <w:rFonts w:hint="eastAsia" w:ascii="宋体" w:hAnsi="宋体" w:eastAsia="宋体" w:cs="宋体"/>
                <w:color w:val="auto"/>
              </w:rPr>
              <w:t>无施工期遗留影响</w:t>
            </w:r>
            <w:r>
              <w:rPr>
                <w:rFonts w:hint="eastAsia" w:ascii="宋体" w:hAnsi="宋体" w:eastAsia="宋体" w:cs="宋体"/>
                <w:color w:val="auto"/>
                <w:lang w:eastAsia="zh-CN"/>
              </w:rPr>
              <w:t>，</w:t>
            </w:r>
            <w:r>
              <w:rPr>
                <w:rFonts w:hint="eastAsia" w:ascii="宋体" w:hAnsi="宋体" w:eastAsia="宋体" w:cs="宋体"/>
                <w:color w:val="auto"/>
              </w:rPr>
              <w:t>因此现已不存在施工期环境影响。</w:t>
            </w:r>
          </w:p>
          <w:p>
            <w:pPr>
              <w:pStyle w:val="6"/>
              <w:widowControl w:val="0"/>
              <w:bidi w:val="0"/>
              <w:rPr>
                <w:rFonts w:hint="eastAsia" w:ascii="宋体" w:hAnsi="宋体" w:eastAsia="宋体" w:cs="宋体"/>
                <w:color w:val="auto"/>
                <w:lang w:val="en-US" w:eastAsia="zh-CN"/>
              </w:rPr>
            </w:pPr>
            <w:bookmarkStart w:id="122" w:name="_Toc5861"/>
            <w:bookmarkStart w:id="123" w:name="_Toc30961"/>
            <w:bookmarkStart w:id="124" w:name="_Toc25096"/>
            <w:bookmarkStart w:id="125" w:name="_Toc21399"/>
            <w:r>
              <w:rPr>
                <w:rFonts w:hint="eastAsia" w:ascii="宋体" w:hAnsi="宋体" w:eastAsia="宋体" w:cs="宋体"/>
                <w:color w:val="auto"/>
                <w:lang w:val="en-US" w:eastAsia="zh-CN"/>
              </w:rPr>
              <w:t>8.3运营期环保措施结论</w:t>
            </w:r>
            <w:bookmarkEnd w:id="122"/>
          </w:p>
          <w:bookmarkEnd w:id="123"/>
          <w:bookmarkEnd w:id="124"/>
          <w:bookmarkEnd w:id="125"/>
          <w:p>
            <w:pPr>
              <w:pStyle w:val="7"/>
              <w:widowControl w:val="0"/>
              <w:bidi w:val="0"/>
              <w:rPr>
                <w:rFonts w:hint="eastAsia" w:ascii="宋体" w:hAnsi="宋体" w:eastAsia="宋体" w:cs="宋体"/>
                <w:color w:val="auto"/>
                <w:lang w:val="en-US" w:eastAsia="zh-CN"/>
              </w:rPr>
            </w:pPr>
            <w:bookmarkStart w:id="126" w:name="_Toc27641"/>
            <w:bookmarkStart w:id="127" w:name="_Toc23294"/>
            <w:r>
              <w:rPr>
                <w:rFonts w:hint="eastAsia" w:ascii="宋体" w:hAnsi="宋体" w:eastAsia="宋体" w:cs="宋体"/>
                <w:color w:val="auto"/>
                <w:lang w:val="en-US" w:eastAsia="zh-CN"/>
              </w:rPr>
              <w:t>8.3.1运营期废气监测结论</w:t>
            </w:r>
            <w:bookmarkEnd w:id="126"/>
            <w:bookmarkEnd w:id="127"/>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480" w:firstLineChars="200"/>
              <w:jc w:val="both"/>
              <w:textAlignment w:val="auto"/>
              <w:outlineLvl w:val="0"/>
              <w:rPr>
                <w:rFonts w:hint="default"/>
                <w:lang w:val="en-US" w:eastAsia="zh-CN"/>
              </w:rPr>
            </w:pPr>
            <w:bookmarkStart w:id="128" w:name="_Hlk19702677"/>
            <w:r>
              <w:rPr>
                <w:rFonts w:hint="default" w:ascii="宋体" w:hAnsi="宋体" w:eastAsia="宋体" w:cs="宋体"/>
                <w:b w:val="0"/>
                <w:color w:val="auto"/>
                <w:sz w:val="24"/>
                <w:szCs w:val="22"/>
                <w:lang w:val="en-US" w:eastAsia="zh-CN" w:bidi="ar-SA"/>
              </w:rPr>
              <w:t>项目运营期产生的大气污染物主要</w:t>
            </w:r>
            <w:r>
              <w:rPr>
                <w:rFonts w:hint="default" w:ascii="Times New Roman" w:hAnsi="Times New Roman" w:eastAsia="宋体" w:cs="Times New Roman"/>
                <w:sz w:val="24"/>
                <w:szCs w:val="24"/>
                <w:lang w:val="en-US" w:eastAsia="zh-CN"/>
              </w:rPr>
              <w:t>本项目废气主要是搅拌工序废气和水泥筒仓、粉煤灰筒仓和矿粉筒仓呼吸孔废气以及厂界无组织粉尘：（1）本项目搅拌楼选用120型混凝土搅拌站，该混凝土搅拌机为密封装置，产生的粉尘全部采用自带的主动式除尘器进行除尘，在搅拌机内回用，无排气口。（2）水泥筒仓、粉煤灰筒仓和矿粉筒仓呼吸孔废气：水泥、粉煤灰和矿粉</w:t>
            </w:r>
            <w:r>
              <w:rPr>
                <w:rFonts w:hint="eastAsia" w:ascii="Times New Roman" w:hAnsi="Times New Roman" w:eastAsia="宋体" w:cs="Times New Roman"/>
                <w:sz w:val="24"/>
                <w:szCs w:val="24"/>
                <w:lang w:val="en-US" w:eastAsia="zh-CN"/>
              </w:rPr>
              <w:t>在</w:t>
            </w:r>
            <w:r>
              <w:rPr>
                <w:rFonts w:hint="default" w:ascii="Times New Roman" w:hAnsi="Times New Roman" w:eastAsia="宋体" w:cs="Times New Roman"/>
                <w:sz w:val="24"/>
                <w:szCs w:val="24"/>
                <w:lang w:val="en-US" w:eastAsia="zh-CN"/>
              </w:rPr>
              <w:t>进入筒仓时在其顶部排气孔有少量颗粒物排出，每个筒仓排气孔装有自带的脉冲反吹式袋式除尘器，且筒仓全部设置在密封厂房内，废气排放对环境影响不大。（3）由监测结果可知，本项目厂界无组织颗粒物最大值0.2</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，满足《大气污染物排放标准》（GB16297-1996）无组织颗粒物排放浓度限值（1.0mg/m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）要求。</w:t>
            </w:r>
          </w:p>
          <w:p>
            <w:pPr>
              <w:widowControl w:val="0"/>
              <w:spacing w:line="360" w:lineRule="auto"/>
              <w:ind w:firstLine="480" w:firstLineChars="200"/>
              <w:rPr>
                <w:rFonts w:hint="default" w:ascii="宋体" w:hAnsi="宋体" w:eastAsia="宋体" w:cs="宋体"/>
                <w:b w:val="0"/>
                <w:color w:val="auto"/>
                <w:sz w:val="24"/>
                <w:szCs w:val="22"/>
                <w:lang w:val="en-US" w:eastAsia="zh-CN" w:bidi="ar-SA"/>
              </w:rPr>
            </w:pPr>
          </w:p>
          <w:p>
            <w:pPr>
              <w:pStyle w:val="7"/>
              <w:widowControl w:val="0"/>
              <w:rPr>
                <w:rFonts w:hint="eastAsia" w:ascii="宋体" w:hAnsi="宋体" w:eastAsia="宋体" w:cs="宋体"/>
                <w:color w:val="auto"/>
                <w:lang w:val="en-US" w:eastAsia="zh-CN"/>
              </w:rPr>
            </w:pPr>
            <w:bookmarkStart w:id="129" w:name="_Toc4169"/>
            <w:bookmarkStart w:id="130" w:name="_Toc22119"/>
            <w:r>
              <w:rPr>
                <w:rFonts w:hint="eastAsia" w:ascii="宋体" w:hAnsi="宋体" w:eastAsia="宋体" w:cs="宋体"/>
                <w:color w:val="auto"/>
                <w:lang w:val="en-US" w:eastAsia="zh-CN"/>
              </w:rPr>
              <w:t>8.3.2营运期废水调查结论</w:t>
            </w:r>
            <w:bookmarkEnd w:id="129"/>
            <w:bookmarkEnd w:id="130"/>
          </w:p>
          <w:bookmarkEnd w:id="128"/>
          <w:p>
            <w:pPr>
              <w:keepNext w:val="0"/>
              <w:keepLines w:val="0"/>
              <w:pageBreakBefore w:val="0"/>
              <w:widowControl w:val="0"/>
              <w:kinsoku/>
              <w:wordWrap/>
              <w:overflowPunct/>
              <w:topLinePunct w:val="0"/>
              <w:autoSpaceDE/>
              <w:autoSpaceDN/>
              <w:bidi w:val="0"/>
              <w:snapToGrid/>
              <w:spacing w:line="560" w:lineRule="exact"/>
              <w:ind w:firstLine="480" w:firstLineChars="200"/>
              <w:rPr>
                <w:rFonts w:hint="default" w:ascii="宋体" w:hAnsi="宋体" w:eastAsia="宋体" w:cs="宋体"/>
                <w:b w:val="0"/>
                <w:color w:val="auto"/>
                <w:sz w:val="24"/>
                <w:szCs w:val="22"/>
                <w:lang w:val="en-US" w:eastAsia="zh-CN" w:bidi="ar-SA"/>
              </w:rPr>
            </w:pPr>
            <w:bookmarkStart w:id="131" w:name="_Toc8850"/>
            <w:bookmarkStart w:id="132" w:name="_Toc1820"/>
            <w:bookmarkStart w:id="133" w:name="_Toc26254"/>
            <w:bookmarkStart w:id="134" w:name="_Toc27645"/>
            <w:r>
              <w:rPr>
                <w:rFonts w:hint="default"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lang w:val="en-US" w:eastAsia="zh-CN"/>
              </w:rPr>
              <w:t>搅拌站</w:t>
            </w:r>
            <w:r>
              <w:rPr>
                <w:rFonts w:hint="default" w:ascii="Times New Roman" w:hAnsi="Times New Roman" w:eastAsia="宋体" w:cs="Times New Roman"/>
                <w:sz w:val="24"/>
                <w:szCs w:val="24"/>
                <w:lang w:val="en-US" w:eastAsia="zh-CN"/>
              </w:rPr>
              <w:t>建成投产后生产</w:t>
            </w:r>
            <w:r>
              <w:rPr>
                <w:rFonts w:hint="eastAsia" w:ascii="Times New Roman" w:hAnsi="Times New Roman" w:eastAsia="宋体" w:cs="Times New Roman"/>
                <w:sz w:val="24"/>
                <w:szCs w:val="24"/>
                <w:lang w:val="en-US" w:eastAsia="zh-CN"/>
              </w:rPr>
              <w:t>过程产生的清洗废水经沉淀后回用于生产</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生活污水经隔油池、化粪池排入市政下水管网，最终进入库尔勒经济技术开发区污水处理厂处理，</w:t>
            </w:r>
            <w:r>
              <w:rPr>
                <w:rFonts w:hint="default" w:ascii="Times New Roman" w:hAnsi="Times New Roman" w:eastAsia="宋体" w:cs="Times New Roman"/>
                <w:sz w:val="24"/>
                <w:szCs w:val="24"/>
                <w:lang w:val="en-US" w:eastAsia="zh-CN"/>
              </w:rPr>
              <w:t>不会对周围水环境产生影响。</w:t>
            </w:r>
          </w:p>
          <w:p>
            <w:pPr>
              <w:pStyle w:val="7"/>
              <w:widowControl w:val="0"/>
              <w:rPr>
                <w:rFonts w:hint="eastAsia" w:ascii="宋体" w:hAnsi="宋体" w:eastAsia="宋体" w:cs="宋体"/>
                <w:color w:val="auto"/>
                <w:lang w:val="en-US" w:eastAsia="zh-CN"/>
              </w:rPr>
            </w:pPr>
            <w:bookmarkStart w:id="135" w:name="_Toc3914"/>
            <w:r>
              <w:rPr>
                <w:rFonts w:hint="eastAsia" w:ascii="宋体" w:hAnsi="宋体" w:eastAsia="宋体" w:cs="宋体"/>
                <w:color w:val="auto"/>
                <w:lang w:val="en-US" w:eastAsia="zh-CN"/>
              </w:rPr>
              <w:t>8.3.3营运期噪声监测结论</w:t>
            </w:r>
            <w:bookmarkEnd w:id="121"/>
            <w:bookmarkEnd w:id="131"/>
            <w:bookmarkEnd w:id="132"/>
            <w:bookmarkEnd w:id="133"/>
            <w:bookmarkEnd w:id="134"/>
            <w:bookmarkEnd w:id="135"/>
          </w:p>
          <w:p>
            <w:pPr>
              <w:widowControl w:val="0"/>
              <w:bidi w:val="0"/>
              <w:ind w:firstLine="480" w:firstLineChars="200"/>
              <w:rPr>
                <w:rFonts w:hint="eastAsia" w:ascii="宋体" w:hAnsi="宋体" w:eastAsia="宋体" w:cs="宋体"/>
                <w:color w:val="auto"/>
                <w:lang w:val="en-US" w:eastAsia="zh-CN"/>
              </w:rPr>
            </w:pPr>
            <w:bookmarkStart w:id="136" w:name="_Toc22148"/>
            <w:bookmarkStart w:id="137" w:name="_Toc2390"/>
            <w:bookmarkStart w:id="138" w:name="_Toc14338"/>
            <w:bookmarkStart w:id="139" w:name="_Toc25112"/>
            <w:r>
              <w:rPr>
                <w:rFonts w:hint="eastAsia" w:ascii="宋体" w:hAnsi="宋体" w:eastAsia="宋体" w:cs="宋体"/>
                <w:color w:val="auto"/>
                <w:highlight w:val="none"/>
                <w:lang w:eastAsia="zh-CN"/>
              </w:rPr>
              <w:t>由监测结果</w:t>
            </w:r>
            <w:r>
              <w:rPr>
                <w:rFonts w:hint="eastAsia" w:ascii="宋体" w:hAnsi="宋体" w:eastAsia="宋体" w:cs="宋体"/>
                <w:color w:val="auto"/>
                <w:highlight w:val="none"/>
                <w:lang w:val="en-US" w:eastAsia="zh-CN"/>
              </w:rPr>
              <w:t>可知，本项目</w:t>
            </w:r>
            <w:r>
              <w:rPr>
                <w:rFonts w:hint="eastAsia" w:ascii="宋体" w:hAnsi="宋体" w:eastAsia="宋体" w:cs="宋体"/>
                <w:color w:val="auto"/>
                <w:highlight w:val="none"/>
                <w:lang w:eastAsia="zh-CN"/>
              </w:rPr>
              <w:t>厂界环境</w:t>
            </w:r>
            <w:r>
              <w:rPr>
                <w:rFonts w:hint="eastAsia" w:ascii="宋体" w:hAnsi="宋体" w:eastAsia="宋体" w:cs="宋体"/>
                <w:color w:val="auto"/>
                <w:highlight w:val="none"/>
              </w:rPr>
              <w:t>噪声</w:t>
            </w:r>
            <w:r>
              <w:rPr>
                <w:rFonts w:hint="eastAsia" w:ascii="宋体" w:hAnsi="宋体" w:eastAsia="宋体" w:cs="宋体"/>
                <w:color w:val="auto"/>
                <w:highlight w:val="none"/>
                <w:lang w:eastAsia="zh-CN"/>
              </w:rPr>
              <w:t>昼间</w:t>
            </w:r>
            <w:r>
              <w:rPr>
                <w:rFonts w:hint="eastAsia" w:ascii="宋体" w:hAnsi="宋体" w:cs="宋体"/>
                <w:color w:val="auto"/>
                <w:highlight w:val="none"/>
                <w:lang w:eastAsia="zh-CN"/>
              </w:rPr>
              <w:t>噪声</w:t>
            </w:r>
            <w:r>
              <w:rPr>
                <w:rFonts w:hint="eastAsia" w:ascii="宋体" w:hAnsi="宋体" w:cs="宋体"/>
                <w:color w:val="auto"/>
                <w:highlight w:val="none"/>
                <w:lang w:val="en-US" w:eastAsia="zh-CN"/>
              </w:rPr>
              <w:t>52.1</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56.1</w:t>
            </w:r>
            <w:r>
              <w:rPr>
                <w:rFonts w:hint="eastAsia" w:ascii="宋体" w:hAnsi="宋体" w:eastAsia="宋体" w:cs="宋体"/>
                <w:color w:val="auto"/>
                <w:highlight w:val="none"/>
              </w:rPr>
              <w:t>dB（A</w:t>
            </w:r>
            <w:r>
              <w:rPr>
                <w:rFonts w:hint="eastAsia" w:ascii="宋体" w:hAnsi="宋体" w:eastAsia="宋体" w:cs="宋体"/>
                <w:color w:val="auto"/>
                <w:highlight w:val="none"/>
                <w:lang w:eastAsia="zh-CN"/>
              </w:rPr>
              <w:t>），</w:t>
            </w:r>
            <w:r>
              <w:rPr>
                <w:rFonts w:hint="eastAsia" w:ascii="宋体" w:hAnsi="宋体" w:cs="宋体"/>
                <w:color w:val="auto"/>
                <w:highlight w:val="none"/>
                <w:lang w:eastAsia="zh-CN"/>
              </w:rPr>
              <w:t>夜间</w:t>
            </w:r>
            <w:r>
              <w:rPr>
                <w:rFonts w:hint="eastAsia" w:ascii="宋体" w:hAnsi="宋体" w:eastAsia="宋体" w:cs="宋体"/>
                <w:color w:val="auto"/>
                <w:highlight w:val="none"/>
                <w:lang w:eastAsia="zh-CN"/>
              </w:rPr>
              <w:t>最大值</w:t>
            </w:r>
            <w:r>
              <w:rPr>
                <w:rFonts w:hint="eastAsia" w:ascii="宋体" w:hAnsi="宋体" w:cs="宋体"/>
                <w:color w:val="auto"/>
                <w:highlight w:val="none"/>
                <w:lang w:val="en-US" w:eastAsia="zh-CN"/>
              </w:rPr>
              <w:t>47.3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50.6</w:t>
            </w:r>
            <w:r>
              <w:rPr>
                <w:rFonts w:hint="eastAsia" w:ascii="宋体" w:hAnsi="宋体" w:eastAsia="宋体" w:cs="宋体"/>
                <w:color w:val="auto"/>
                <w:highlight w:val="none"/>
              </w:rPr>
              <w:t>dB（A</w:t>
            </w:r>
            <w:r>
              <w:rPr>
                <w:rFonts w:hint="eastAsia" w:ascii="宋体" w:hAnsi="宋体" w:eastAsia="宋体" w:cs="宋体"/>
                <w:color w:val="auto"/>
                <w:highlight w:val="none"/>
                <w:lang w:eastAsia="zh-CN"/>
              </w:rPr>
              <w:t>）</w:t>
            </w:r>
            <w:r>
              <w:rPr>
                <w:rFonts w:hint="eastAsia" w:ascii="宋体" w:hAnsi="宋体" w:cs="宋体"/>
                <w:color w:val="auto"/>
                <w:highlight w:val="none"/>
                <w:lang w:eastAsia="zh-CN"/>
              </w:rPr>
              <w:t>，</w:t>
            </w:r>
            <w:r>
              <w:rPr>
                <w:rFonts w:hint="eastAsia" w:ascii="宋体" w:hAnsi="宋体" w:eastAsia="宋体" w:cs="宋体"/>
                <w:color w:val="auto"/>
                <w:highlight w:val="none"/>
              </w:rPr>
              <w:t>满足</w:t>
            </w:r>
            <w:r>
              <w:rPr>
                <w:rFonts w:hint="eastAsia" w:ascii="宋体" w:hAnsi="宋体" w:eastAsia="宋体" w:cs="宋体"/>
                <w:color w:val="auto"/>
                <w:highlight w:val="none"/>
                <w:lang w:eastAsia="zh-CN"/>
              </w:rPr>
              <w:t>《工业企业厂界环境</w:t>
            </w:r>
            <w:r>
              <w:rPr>
                <w:rFonts w:hint="eastAsia" w:ascii="宋体" w:hAnsi="宋体" w:eastAsia="宋体" w:cs="宋体"/>
                <w:color w:val="auto"/>
                <w:highlight w:val="none"/>
              </w:rPr>
              <w:t xml:space="preserve">噪声排放标准》（GB </w:t>
            </w:r>
            <w:r>
              <w:rPr>
                <w:rFonts w:hint="eastAsia" w:ascii="宋体" w:hAnsi="宋体" w:eastAsia="宋体" w:cs="宋体"/>
                <w:color w:val="auto"/>
                <w:highlight w:val="none"/>
                <w:lang w:val="en-US" w:eastAsia="zh-CN"/>
              </w:rPr>
              <w:t>12348</w:t>
            </w:r>
            <w:r>
              <w:rPr>
                <w:rFonts w:hint="eastAsia" w:ascii="宋体" w:hAnsi="宋体" w:eastAsia="宋体" w:cs="宋体"/>
                <w:color w:val="auto"/>
                <w:highlight w:val="none"/>
              </w:rPr>
              <w:t>-2008</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表1 中</w:t>
            </w:r>
            <w:r>
              <w:rPr>
                <w:rFonts w:hint="eastAsia" w:ascii="宋体" w:hAnsi="宋体" w:cs="宋体"/>
                <w:color w:val="auto"/>
                <w:highlight w:val="none"/>
                <w:lang w:val="en-US" w:eastAsia="zh-CN"/>
              </w:rPr>
              <w:t>3</w:t>
            </w:r>
            <w:r>
              <w:rPr>
                <w:rFonts w:hint="eastAsia" w:ascii="宋体" w:hAnsi="宋体" w:eastAsia="宋体" w:cs="宋体"/>
                <w:color w:val="auto"/>
                <w:highlight w:val="none"/>
              </w:rPr>
              <w:t>类标准</w:t>
            </w:r>
            <w:r>
              <w:rPr>
                <w:rFonts w:hint="eastAsia" w:ascii="宋体" w:hAnsi="宋体" w:eastAsia="宋体" w:cs="宋体"/>
                <w:color w:val="auto"/>
                <w:highlight w:val="none"/>
                <w:lang w:eastAsia="zh-CN"/>
              </w:rPr>
              <w:t>（昼间</w:t>
            </w:r>
            <w:r>
              <w:rPr>
                <w:rFonts w:hint="eastAsia" w:ascii="宋体" w:hAnsi="宋体" w:cs="宋体"/>
                <w:color w:val="auto"/>
                <w:highlight w:val="none"/>
                <w:lang w:val="en-US" w:eastAsia="zh-CN"/>
              </w:rPr>
              <w:t>65</w:t>
            </w:r>
            <w:r>
              <w:rPr>
                <w:rFonts w:hint="eastAsia" w:ascii="宋体" w:hAnsi="宋体" w:eastAsia="宋体" w:cs="宋体"/>
                <w:color w:val="auto"/>
                <w:highlight w:val="none"/>
              </w:rPr>
              <w:t>dB（A</w:t>
            </w:r>
            <w:r>
              <w:rPr>
                <w:rFonts w:hint="eastAsia" w:ascii="宋体" w:hAnsi="宋体" w:eastAsia="宋体" w:cs="宋体"/>
                <w:color w:val="auto"/>
                <w:highlight w:val="none"/>
                <w:lang w:eastAsia="zh-CN"/>
              </w:rPr>
              <w:t>）</w:t>
            </w:r>
            <w:r>
              <w:rPr>
                <w:rFonts w:hint="eastAsia" w:ascii="宋体" w:hAnsi="宋体" w:cs="宋体"/>
                <w:color w:val="auto"/>
                <w:highlight w:val="none"/>
                <w:lang w:eastAsia="zh-CN"/>
              </w:rPr>
              <w:t>、夜</w:t>
            </w:r>
            <w:r>
              <w:rPr>
                <w:rFonts w:hint="eastAsia" w:ascii="宋体" w:hAnsi="宋体" w:eastAsia="宋体" w:cs="宋体"/>
                <w:color w:val="auto"/>
                <w:highlight w:val="none"/>
                <w:lang w:eastAsia="zh-CN"/>
              </w:rPr>
              <w:t>间</w:t>
            </w:r>
            <w:r>
              <w:rPr>
                <w:rFonts w:hint="eastAsia" w:ascii="宋体" w:hAnsi="宋体" w:cs="宋体"/>
                <w:color w:val="auto"/>
                <w:highlight w:val="none"/>
                <w:lang w:val="en-US" w:eastAsia="zh-CN"/>
              </w:rPr>
              <w:t>65</w:t>
            </w:r>
            <w:r>
              <w:rPr>
                <w:rFonts w:hint="eastAsia" w:ascii="宋体" w:hAnsi="宋体" w:eastAsia="宋体" w:cs="宋体"/>
                <w:color w:val="auto"/>
                <w:highlight w:val="none"/>
              </w:rPr>
              <w:t>dB（A</w:t>
            </w:r>
            <w:r>
              <w:rPr>
                <w:rFonts w:hint="eastAsia" w:ascii="宋体" w:hAnsi="宋体" w:eastAsia="宋体" w:cs="宋体"/>
                <w:color w:val="auto"/>
                <w:highlight w:val="none"/>
                <w:lang w:eastAsia="zh-CN"/>
              </w:rPr>
              <w:t>））的标准</w:t>
            </w:r>
            <w:r>
              <w:rPr>
                <w:rFonts w:hint="eastAsia" w:ascii="宋体" w:hAnsi="宋体" w:eastAsia="宋体" w:cs="宋体"/>
                <w:color w:val="auto"/>
                <w:highlight w:val="none"/>
              </w:rPr>
              <w:t>限值要求。</w:t>
            </w:r>
          </w:p>
          <w:p>
            <w:pPr>
              <w:pStyle w:val="7"/>
              <w:widowControl w:val="0"/>
              <w:rPr>
                <w:rFonts w:hint="eastAsia" w:ascii="宋体" w:hAnsi="宋体" w:eastAsia="宋体" w:cs="宋体"/>
                <w:color w:val="auto"/>
                <w:lang w:val="en-US" w:eastAsia="zh-CN"/>
              </w:rPr>
            </w:pPr>
            <w:bookmarkStart w:id="140" w:name="_Toc7305"/>
            <w:bookmarkStart w:id="141" w:name="_Toc5500"/>
            <w:r>
              <w:rPr>
                <w:rFonts w:hint="eastAsia" w:ascii="宋体" w:hAnsi="宋体" w:eastAsia="宋体" w:cs="宋体"/>
                <w:color w:val="auto"/>
                <w:lang w:val="en-US" w:eastAsia="zh-CN"/>
              </w:rPr>
              <w:t>8.3.</w:t>
            </w:r>
            <w:bookmarkEnd w:id="136"/>
            <w:bookmarkEnd w:id="137"/>
            <w:bookmarkEnd w:id="138"/>
            <w:bookmarkEnd w:id="139"/>
            <w:r>
              <w:rPr>
                <w:rFonts w:hint="eastAsia" w:ascii="宋体" w:hAnsi="宋体" w:eastAsia="宋体" w:cs="宋体"/>
                <w:color w:val="auto"/>
                <w:lang w:val="en-US" w:eastAsia="zh-CN"/>
              </w:rPr>
              <w:t>4营运期固体废弃物和危险</w:t>
            </w:r>
            <w:r>
              <w:rPr>
                <w:rFonts w:hint="eastAsia" w:ascii="宋体" w:hAnsi="宋体" w:cs="宋体"/>
                <w:color w:val="auto"/>
                <w:lang w:val="en-US" w:eastAsia="zh-CN"/>
              </w:rPr>
              <w:t>废弃物</w:t>
            </w:r>
            <w:r>
              <w:rPr>
                <w:rFonts w:hint="eastAsia" w:ascii="宋体" w:hAnsi="宋体" w:eastAsia="宋体" w:cs="宋体"/>
                <w:color w:val="auto"/>
                <w:lang w:val="en-US" w:eastAsia="zh-CN"/>
              </w:rPr>
              <w:t>调查结论</w:t>
            </w:r>
            <w:bookmarkEnd w:id="140"/>
            <w:bookmarkEnd w:id="141"/>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生产过程产生的固废主要为除尘器收集粉尘、沉淀池废渣和生活垃圾。生活垃圾定期交由环卫部门清运；除尘器收集粉尘全部回用于生产，沉淀池废渣定期清掏后回用于生产；废弃砂石料集中收集后综合利用。</w:t>
            </w:r>
          </w:p>
          <w:p>
            <w:pPr>
              <w:keepNext w:val="0"/>
              <w:keepLines w:val="0"/>
              <w:pageBreakBefore w:val="0"/>
              <w:widowControl/>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综上所述，巴州好绿筑科技有限公司绿色装配式建筑产业园建设项目（一期）在运营过程中产生的废水、废气</w:t>
            </w:r>
            <w:r>
              <w:rPr>
                <w:rFonts w:hint="eastAsia"/>
                <w:b/>
                <w:bCs/>
              </w:rPr>
              <w:t>、噪声、固废</w:t>
            </w:r>
            <w:r>
              <w:rPr>
                <w:rFonts w:hint="eastAsia"/>
                <w:b/>
                <w:bCs/>
                <w:lang w:val="en-US" w:eastAsia="zh-CN"/>
              </w:rPr>
              <w:t>和危废</w:t>
            </w:r>
            <w:r>
              <w:rPr>
                <w:rFonts w:hint="eastAsia"/>
                <w:b/>
                <w:bCs/>
              </w:rPr>
              <w:t>均满足国家有关环境保护法规、环境保护标准的要求。</w:t>
            </w:r>
          </w:p>
          <w:p>
            <w:pPr>
              <w:pStyle w:val="6"/>
              <w:widowControl w:val="0"/>
              <w:rPr>
                <w:rFonts w:hint="eastAsia" w:ascii="宋体" w:hAnsi="宋体" w:eastAsia="宋体" w:cs="宋体"/>
                <w:color w:val="auto"/>
              </w:rPr>
            </w:pPr>
            <w:bookmarkStart w:id="142" w:name="_Toc30308"/>
            <w:bookmarkStart w:id="143" w:name="_Toc11205"/>
            <w:bookmarkStart w:id="144" w:name="_Toc1352"/>
            <w:bookmarkStart w:id="145" w:name="_Toc18162"/>
            <w:r>
              <w:rPr>
                <w:rFonts w:hint="eastAsia" w:ascii="宋体" w:hAnsi="宋体" w:eastAsia="宋体" w:cs="宋体"/>
                <w:color w:val="auto"/>
                <w:lang w:val="en-US" w:eastAsia="zh-CN"/>
              </w:rPr>
              <w:t>8.4</w:t>
            </w:r>
            <w:r>
              <w:rPr>
                <w:rFonts w:hint="eastAsia" w:ascii="宋体" w:hAnsi="宋体" w:eastAsia="宋体" w:cs="宋体"/>
                <w:color w:val="auto"/>
              </w:rPr>
              <w:t>要求及建议</w:t>
            </w:r>
            <w:bookmarkEnd w:id="142"/>
            <w:bookmarkEnd w:id="143"/>
            <w:bookmarkEnd w:id="144"/>
            <w:bookmarkEnd w:id="145"/>
          </w:p>
          <w:p>
            <w:pPr>
              <w:widowControl w:val="0"/>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（1）设立危险品的管理制度，建立使用台账，配备个人防护设施和应急处置设施；</w:t>
            </w:r>
          </w:p>
          <w:p>
            <w:pPr>
              <w:widowControl w:val="0"/>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（2）建立完善的环境管理制度，设立专门环境管理机构，建立完善的环境监测制度。 </w:t>
            </w:r>
          </w:p>
          <w:p>
            <w:pPr>
              <w:widowControl w:val="0"/>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（3）按照环境监测计划对项目废气、厂界噪声等定期进行监测。 </w:t>
            </w:r>
          </w:p>
          <w:p>
            <w:pPr>
              <w:widowControl w:val="0"/>
              <w:rPr>
                <w:rFonts w:hint="eastAsia" w:ascii="宋体" w:hAnsi="宋体" w:eastAsia="宋体" w:cs="宋体"/>
                <w:color w:val="auto"/>
                <w:lang w:val="en-US" w:eastAsia="zh-CN"/>
              </w:rPr>
            </w:pPr>
          </w:p>
          <w:p>
            <w:pPr>
              <w:pStyle w:val="7"/>
              <w:widowControl w:val="0"/>
              <w:rPr>
                <w:rFonts w:hint="eastAsia" w:ascii="宋体" w:hAnsi="宋体" w:eastAsia="宋体" w:cs="宋体"/>
                <w:color w:val="auto"/>
                <w:lang w:val="en-US" w:eastAsia="zh-CN"/>
              </w:rPr>
            </w:pPr>
          </w:p>
          <w:p>
            <w:pPr>
              <w:widowControl w:val="0"/>
              <w:rPr>
                <w:rFonts w:hint="eastAsia" w:ascii="宋体" w:hAnsi="宋体" w:eastAsia="宋体" w:cs="宋体"/>
                <w:color w:val="auto"/>
                <w:lang w:val="en-US" w:eastAsia="zh-CN"/>
              </w:rPr>
            </w:pPr>
          </w:p>
        </w:tc>
      </w:tr>
    </w:tbl>
    <w:p>
      <w:pPr>
        <w:widowControl w:val="0"/>
        <w:autoSpaceDE w:val="0"/>
        <w:autoSpaceDN w:val="0"/>
        <w:spacing w:beforeLines="0"/>
        <w:rPr>
          <w:rFonts w:hint="eastAsia"/>
          <w:b/>
          <w:color w:val="000000"/>
          <w:spacing w:val="-4"/>
          <w:sz w:val="15"/>
          <w:lang w:val="en-US" w:eastAsia="zh-CN"/>
        </w:rPr>
      </w:pPr>
    </w:p>
    <w:p>
      <w:pPr>
        <w:rPr>
          <w:rFonts w:hint="eastAsia"/>
          <w:lang w:val="en-US" w:eastAsia="zh-CN"/>
        </w:rPr>
      </w:pPr>
    </w:p>
    <w:p>
      <w:pPr>
        <w:bidi w:val="0"/>
        <w:rPr>
          <w:rFonts w:hint="eastAsia"/>
          <w:lang w:val="en-US" w:eastAsia="zh-CN"/>
        </w:rPr>
        <w:sectPr>
          <w:pgSz w:w="11907" w:h="16840"/>
          <w:pgMar w:top="1440" w:right="1800" w:bottom="1440" w:left="1800" w:header="284" w:footer="851" w:gutter="0"/>
          <w:pgBorders>
            <w:top w:val="none" w:sz="0" w:space="0"/>
            <w:left w:val="none" w:sz="0" w:space="0"/>
            <w:bottom w:val="none" w:sz="0" w:space="0"/>
            <w:right w:val="none" w:sz="0" w:space="0"/>
          </w:pgBorders>
          <w:lnNumType w:countBy="0" w:distance="360"/>
          <w:pgNumType w:fmt="decimal"/>
          <w:cols w:space="720" w:num="1"/>
          <w:docGrid w:linePitch="285" w:charSpace="0"/>
        </w:sectPr>
      </w:pPr>
    </w:p>
    <w:p>
      <w:pPr>
        <w:keepNext w:val="0"/>
        <w:keepLines w:val="0"/>
        <w:pageBreakBefore w:val="0"/>
        <w:widowControl w:val="0"/>
        <w:kinsoku/>
        <w:wordWrap/>
        <w:overflowPunct/>
        <w:topLinePunct w:val="0"/>
        <w:autoSpaceDE w:val="0"/>
        <w:autoSpaceDN w:val="0"/>
        <w:bidi w:val="0"/>
        <w:adjustRightInd/>
        <w:snapToGrid/>
        <w:spacing w:before="0" w:after="0" w:afterLines="0" w:line="240" w:lineRule="auto"/>
        <w:jc w:val="center"/>
        <w:outlineLvl w:val="0"/>
        <w:rPr>
          <w:rFonts w:hint="eastAsia" w:ascii="宋体" w:hAnsi="宋体" w:eastAsia="宋体" w:cs="宋体"/>
          <w:b/>
          <w:bCs w:val="0"/>
          <w:color w:val="000000"/>
          <w:sz w:val="15"/>
          <w:szCs w:val="15"/>
        </w:rPr>
      </w:pPr>
      <w:bookmarkStart w:id="146" w:name="_Toc3253"/>
      <w:bookmarkStart w:id="147" w:name="_Toc12419"/>
      <w:bookmarkStart w:id="148" w:name="_Toc9367"/>
      <w:r>
        <w:rPr>
          <w:rFonts w:hint="eastAsia" w:ascii="宋体" w:hAnsi="宋体" w:eastAsia="宋体" w:cs="宋体"/>
          <w:b/>
          <w:bCs w:val="0"/>
          <w:color w:val="000000"/>
          <w:sz w:val="15"/>
          <w:szCs w:val="15"/>
          <w:lang w:val="en-US" w:eastAsia="zh-CN"/>
        </w:rPr>
        <w:t xml:space="preserve"> </w:t>
      </w:r>
      <w:bookmarkStart w:id="149" w:name="_Toc32023"/>
      <w:r>
        <w:rPr>
          <w:rFonts w:hint="eastAsia" w:ascii="宋体" w:hAnsi="宋体" w:eastAsia="宋体" w:cs="宋体"/>
          <w:b/>
          <w:bCs w:val="0"/>
          <w:color w:val="000000"/>
          <w:sz w:val="15"/>
          <w:szCs w:val="15"/>
        </w:rPr>
        <w:t>建设项目竣工环境保护“三同时”验收登记表</w:t>
      </w:r>
      <w:bookmarkEnd w:id="146"/>
      <w:bookmarkEnd w:id="147"/>
      <w:bookmarkEnd w:id="148"/>
      <w:bookmarkEnd w:id="149"/>
    </w:p>
    <w:p>
      <w:pPr>
        <w:keepNext w:val="0"/>
        <w:keepLines w:val="0"/>
        <w:pageBreakBefore w:val="0"/>
        <w:widowControl w:val="0"/>
        <w:kinsoku/>
        <w:wordWrap/>
        <w:overflowPunct/>
        <w:topLinePunct w:val="0"/>
        <w:autoSpaceDE w:val="0"/>
        <w:autoSpaceDN w:val="0"/>
        <w:bidi w:val="0"/>
        <w:adjustRightInd/>
        <w:snapToGrid/>
        <w:spacing w:before="0" w:after="0" w:afterLines="0" w:line="240" w:lineRule="auto"/>
        <w:rPr>
          <w:rFonts w:hint="eastAsia" w:ascii="宋体" w:hAnsi="宋体" w:eastAsia="宋体" w:cs="宋体"/>
          <w:b/>
          <w:bCs w:val="0"/>
          <w:color w:val="000000"/>
          <w:sz w:val="15"/>
          <w:szCs w:val="15"/>
          <w:lang w:eastAsia="zh-CN"/>
        </w:rPr>
      </w:pPr>
      <w:r>
        <w:rPr>
          <w:rFonts w:hint="eastAsia" w:ascii="宋体" w:hAnsi="宋体" w:eastAsia="宋体" w:cs="宋体"/>
          <w:b/>
          <w:bCs w:val="0"/>
          <w:color w:val="000000"/>
          <w:sz w:val="15"/>
          <w:szCs w:val="15"/>
        </w:rPr>
        <w:t>填表单位（盖章）</w:t>
      </w:r>
      <w:r>
        <w:rPr>
          <w:rFonts w:hint="eastAsia" w:ascii="宋体" w:hAnsi="宋体" w:eastAsia="宋体" w:cs="宋体"/>
          <w:b/>
          <w:bCs w:val="0"/>
          <w:color w:val="000000"/>
          <w:kern w:val="2"/>
          <w:sz w:val="15"/>
          <w:szCs w:val="15"/>
        </w:rPr>
        <w:t>：</w:t>
      </w:r>
      <w:r>
        <w:rPr>
          <w:rFonts w:hint="eastAsia" w:ascii="宋体" w:hAnsi="宋体" w:eastAsia="宋体" w:cs="宋体"/>
          <w:b/>
          <w:bCs w:val="0"/>
          <w:color w:val="000000"/>
          <w:sz w:val="15"/>
          <w:szCs w:val="15"/>
        </w:rPr>
        <w:t xml:space="preserve"> </w:t>
      </w:r>
      <w:r>
        <w:rPr>
          <w:rFonts w:hint="eastAsia" w:ascii="宋体" w:hAnsi="宋体" w:cs="宋体"/>
          <w:b/>
          <w:bCs w:val="0"/>
          <w:color w:val="000000"/>
          <w:sz w:val="15"/>
          <w:szCs w:val="15"/>
          <w:lang w:val="en-US" w:eastAsia="zh-CN"/>
        </w:rPr>
        <w:t>巴州好绿筑科技有限公司</w:t>
      </w:r>
      <w:r>
        <w:rPr>
          <w:rFonts w:hint="eastAsia" w:ascii="宋体" w:hAnsi="宋体" w:eastAsia="宋体" w:cs="宋体"/>
          <w:b/>
          <w:bCs w:val="0"/>
          <w:color w:val="000000"/>
          <w:sz w:val="15"/>
          <w:szCs w:val="15"/>
        </w:rPr>
        <w:t xml:space="preserve">                </w:t>
      </w:r>
      <w:r>
        <w:rPr>
          <w:rFonts w:hint="eastAsia" w:ascii="宋体" w:hAnsi="宋体" w:eastAsia="宋体" w:cs="宋体"/>
          <w:b/>
          <w:bCs w:val="0"/>
          <w:color w:val="000000"/>
          <w:sz w:val="15"/>
          <w:szCs w:val="15"/>
          <w:lang w:val="en-US" w:eastAsia="zh-CN"/>
        </w:rPr>
        <w:t xml:space="preserve">               </w:t>
      </w:r>
      <w:r>
        <w:rPr>
          <w:rFonts w:hint="eastAsia" w:ascii="宋体" w:hAnsi="宋体" w:eastAsia="宋体" w:cs="宋体"/>
          <w:b/>
          <w:bCs w:val="0"/>
          <w:color w:val="000000"/>
          <w:sz w:val="15"/>
          <w:szCs w:val="15"/>
        </w:rPr>
        <w:t xml:space="preserve">填表人（签字）：                           </w:t>
      </w:r>
      <w:r>
        <w:rPr>
          <w:rFonts w:hint="eastAsia" w:ascii="宋体" w:hAnsi="宋体" w:eastAsia="宋体" w:cs="宋体"/>
          <w:b/>
          <w:bCs w:val="0"/>
          <w:color w:val="000000"/>
          <w:sz w:val="15"/>
          <w:szCs w:val="15"/>
          <w:lang w:val="en-US" w:eastAsia="zh-CN"/>
        </w:rPr>
        <w:t xml:space="preserve">                                         </w:t>
      </w:r>
      <w:r>
        <w:rPr>
          <w:rFonts w:hint="eastAsia" w:ascii="宋体" w:hAnsi="宋体" w:eastAsia="宋体" w:cs="宋体"/>
          <w:b/>
          <w:bCs w:val="0"/>
          <w:color w:val="000000"/>
          <w:sz w:val="15"/>
          <w:szCs w:val="15"/>
        </w:rPr>
        <w:t>项目经办人（签字）：</w:t>
      </w:r>
    </w:p>
    <w:tbl>
      <w:tblPr>
        <w:tblStyle w:val="23"/>
        <w:tblW w:w="1504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58"/>
        <w:gridCol w:w="1041"/>
        <w:gridCol w:w="457"/>
        <w:gridCol w:w="812"/>
        <w:gridCol w:w="1483"/>
        <w:gridCol w:w="1067"/>
        <w:gridCol w:w="907"/>
        <w:gridCol w:w="6"/>
        <w:gridCol w:w="400"/>
        <w:gridCol w:w="525"/>
        <w:gridCol w:w="1062"/>
        <w:gridCol w:w="750"/>
        <w:gridCol w:w="1900"/>
        <w:gridCol w:w="1089"/>
        <w:gridCol w:w="449"/>
        <w:gridCol w:w="729"/>
        <w:gridCol w:w="1"/>
        <w:gridCol w:w="570"/>
        <w:gridCol w:w="472"/>
        <w:gridCol w:w="1"/>
        <w:gridCol w:w="7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408" w:type="dxa"/>
            <w:vMerge w:val="restart"/>
            <w:noWrap w:val="0"/>
            <w:tcMar>
              <w:left w:w="57" w:type="dxa"/>
              <w:right w:w="57" w:type="dxa"/>
            </w:tcMar>
            <w:textDirection w:val="tbRlV"/>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113" w:right="113"/>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建设项目</w:t>
            </w: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项目名称</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巴州好绿筑科技有限公司绿色装配式建筑产业园建设项目（一期）</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项目代码</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建设地点</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宋体" w:hAnsi="宋体" w:eastAsia="宋体" w:cs="宋体"/>
                <w:b w:val="0"/>
                <w:bCs/>
                <w:color w:val="000000"/>
                <w:kern w:val="2"/>
                <w:sz w:val="15"/>
                <w:szCs w:val="15"/>
                <w:highlight w:val="none"/>
                <w:lang w:eastAsia="zh-CN"/>
              </w:rPr>
            </w:pPr>
            <w:r>
              <w:rPr>
                <w:rFonts w:hint="eastAsia" w:ascii="宋体" w:hAnsi="宋体" w:cs="宋体"/>
                <w:b w:val="0"/>
                <w:bCs/>
                <w:color w:val="000000"/>
                <w:kern w:val="2"/>
                <w:sz w:val="15"/>
                <w:szCs w:val="15"/>
                <w:highlight w:val="none"/>
                <w:lang w:val="en-US" w:eastAsia="zh-CN"/>
              </w:rPr>
              <w:t>新疆库尔勒经济技术开发区康盛路西侧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行业类别（分类管理名录）</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二十七、非金属矿物制品业-55、石膏、水泥制品及类似制品制造</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建设性质</w:t>
            </w:r>
          </w:p>
        </w:tc>
        <w:tc>
          <w:tcPr>
            <w:tcW w:w="3438"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rPr>
            </w:pPr>
            <w:r>
              <w:rPr>
                <w:rFonts w:hint="eastAsia" w:ascii="宋体" w:hAnsi="宋体" w:cs="宋体"/>
                <w:b w:val="0"/>
                <w:bCs/>
                <w:color w:val="000000"/>
                <w:kern w:val="2"/>
                <w:sz w:val="15"/>
                <w:szCs w:val="15"/>
                <w:highlight w:val="none"/>
                <w:lang w:eastAsia="zh-CN"/>
              </w:rPr>
              <w:t>☑</w:t>
            </w:r>
            <w:r>
              <w:rPr>
                <w:rFonts w:hint="eastAsia" w:ascii="宋体" w:hAnsi="宋体" w:eastAsia="宋体" w:cs="宋体"/>
                <w:b w:val="0"/>
                <w:bCs/>
                <w:color w:val="000000"/>
                <w:kern w:val="2"/>
                <w:sz w:val="15"/>
                <w:szCs w:val="15"/>
                <w:highlight w:val="none"/>
              </w:rPr>
              <w:t xml:space="preserve">新建  </w:t>
            </w:r>
            <w:r>
              <w:rPr>
                <w:rFonts w:hint="eastAsia" w:ascii="宋体" w:hAnsi="宋体" w:cs="宋体"/>
                <w:b w:val="0"/>
                <w:bCs/>
                <w:color w:val="000000"/>
                <w:kern w:val="2"/>
                <w:sz w:val="15"/>
                <w:szCs w:val="15"/>
                <w:highlight w:val="none"/>
                <w:lang w:eastAsia="zh-CN"/>
              </w:rPr>
              <w:t>□</w:t>
            </w:r>
            <w:r>
              <w:rPr>
                <w:rFonts w:hint="eastAsia" w:ascii="宋体" w:hAnsi="宋体" w:eastAsia="宋体" w:cs="宋体"/>
                <w:b w:val="0"/>
                <w:bCs/>
                <w:color w:val="000000"/>
                <w:kern w:val="2"/>
                <w:sz w:val="15"/>
                <w:szCs w:val="15"/>
                <w:highlight w:val="none"/>
              </w:rPr>
              <w:t xml:space="preserve"> 改扩建  □技术改造</w:t>
            </w:r>
          </w:p>
        </w:tc>
        <w:tc>
          <w:tcPr>
            <w:tcW w:w="1300"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项目厂区中心经度/纬度</w:t>
            </w:r>
          </w:p>
        </w:tc>
        <w:tc>
          <w:tcPr>
            <w:tcW w:w="122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lang w:eastAsia="zh-CN"/>
              </w:rPr>
            </w:pPr>
            <w:r>
              <w:rPr>
                <w:rFonts w:hint="eastAsia" w:ascii="宋体" w:hAnsi="宋体" w:cs="宋体"/>
                <w:b w:val="0"/>
                <w:bCs/>
                <w:color w:val="000000"/>
                <w:kern w:val="2"/>
                <w:sz w:val="15"/>
                <w:szCs w:val="15"/>
                <w:highlight w:val="none"/>
                <w:lang w:eastAsia="zh-CN"/>
              </w:rPr>
              <w:t>E 86°11'53.28"，N41°40'24.42"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设计生产能力</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实际生产能力</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环评单位</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rPr>
            </w:pPr>
            <w:r>
              <w:rPr>
                <w:rFonts w:hint="eastAsia" w:ascii="宋体" w:hAnsi="宋体" w:cs="宋体"/>
                <w:color w:val="auto"/>
                <w:sz w:val="15"/>
                <w:szCs w:val="15"/>
                <w:highlight w:val="none"/>
                <w:lang w:val="en-US" w:eastAsia="zh-CN"/>
              </w:rPr>
              <w:t>新疆中测众联环保咨询服务有限公司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环评文件审批机关</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eastAsia="zh-CN"/>
              </w:rPr>
              <w:t>库尔勒经济技术开发区环保局</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审批文号</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库开环评价函〔2021〕7号</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环评文件类型</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eastAsia="zh-CN"/>
              </w:rPr>
            </w:pPr>
            <w:r>
              <w:rPr>
                <w:rFonts w:hint="eastAsia" w:ascii="宋体" w:hAnsi="宋体" w:eastAsia="宋体" w:cs="宋体"/>
                <w:b w:val="0"/>
                <w:bCs/>
                <w:color w:val="000000"/>
                <w:kern w:val="2"/>
                <w:sz w:val="15"/>
                <w:szCs w:val="15"/>
                <w:highlight w:val="none"/>
                <w:lang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开工日期</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202</w:t>
            </w:r>
            <w:r>
              <w:rPr>
                <w:rFonts w:hint="eastAsia" w:ascii="宋体" w:hAnsi="宋体" w:cs="宋体"/>
                <w:b w:val="0"/>
                <w:bCs/>
                <w:color w:val="000000"/>
                <w:kern w:val="2"/>
                <w:sz w:val="15"/>
                <w:szCs w:val="15"/>
                <w:highlight w:val="none"/>
                <w:lang w:val="en-US" w:eastAsia="zh-CN"/>
              </w:rPr>
              <w:t>0</w:t>
            </w:r>
            <w:r>
              <w:rPr>
                <w:rFonts w:hint="eastAsia" w:ascii="宋体" w:hAnsi="宋体" w:eastAsia="宋体" w:cs="宋体"/>
                <w:b w:val="0"/>
                <w:bCs/>
                <w:color w:val="000000"/>
                <w:kern w:val="2"/>
                <w:sz w:val="15"/>
                <w:szCs w:val="15"/>
                <w:highlight w:val="none"/>
                <w:lang w:val="en-US" w:eastAsia="zh-CN"/>
              </w:rPr>
              <w:t>年</w:t>
            </w:r>
            <w:r>
              <w:rPr>
                <w:rFonts w:hint="eastAsia" w:ascii="宋体" w:hAnsi="宋体" w:cs="宋体"/>
                <w:b w:val="0"/>
                <w:bCs/>
                <w:color w:val="000000"/>
                <w:kern w:val="2"/>
                <w:sz w:val="15"/>
                <w:szCs w:val="15"/>
                <w:highlight w:val="none"/>
                <w:lang w:val="en-US" w:eastAsia="zh-CN"/>
              </w:rPr>
              <w:t>6</w:t>
            </w:r>
            <w:r>
              <w:rPr>
                <w:rFonts w:hint="eastAsia" w:ascii="宋体" w:hAnsi="宋体" w:eastAsia="宋体" w:cs="宋体"/>
                <w:b w:val="0"/>
                <w:bCs/>
                <w:color w:val="000000"/>
                <w:kern w:val="2"/>
                <w:sz w:val="15"/>
                <w:szCs w:val="15"/>
                <w:highlight w:val="none"/>
                <w:lang w:val="en-US" w:eastAsia="zh-CN"/>
              </w:rPr>
              <w:t>月</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竣工日期</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2021年</w:t>
            </w:r>
            <w:r>
              <w:rPr>
                <w:rFonts w:hint="eastAsia" w:ascii="宋体" w:hAnsi="宋体" w:cs="宋体"/>
                <w:b w:val="0"/>
                <w:bCs/>
                <w:color w:val="000000"/>
                <w:kern w:val="2"/>
                <w:sz w:val="15"/>
                <w:szCs w:val="15"/>
                <w:highlight w:val="none"/>
                <w:lang w:val="en-US" w:eastAsia="zh-CN"/>
              </w:rPr>
              <w:t>5</w:t>
            </w:r>
            <w:r>
              <w:rPr>
                <w:rFonts w:hint="eastAsia" w:ascii="宋体" w:hAnsi="宋体" w:eastAsia="宋体" w:cs="宋体"/>
                <w:b w:val="0"/>
                <w:bCs/>
                <w:color w:val="000000"/>
                <w:kern w:val="2"/>
                <w:sz w:val="15"/>
                <w:szCs w:val="15"/>
                <w:highlight w:val="none"/>
                <w:lang w:val="en-US" w:eastAsia="zh-CN"/>
              </w:rPr>
              <w:t>月</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排污许可证申领时间</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环保设施设计单位</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sz w:val="15"/>
                <w:szCs w:val="15"/>
                <w:highlight w:val="none"/>
                <w:lang w:val="en-US" w:eastAsia="zh-CN"/>
              </w:rPr>
            </w:pPr>
            <w:r>
              <w:rPr>
                <w:rFonts w:hint="eastAsia" w:ascii="宋体" w:hAnsi="宋体" w:eastAsia="宋体" w:cs="宋体"/>
                <w:b w:val="0"/>
                <w:bCs/>
                <w:color w:val="000000"/>
                <w:sz w:val="15"/>
                <w:szCs w:val="15"/>
                <w:highlight w:val="none"/>
                <w:lang w:val="en-US" w:eastAsia="zh-CN"/>
              </w:rPr>
              <w:t>/</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sz w:val="15"/>
                <w:szCs w:val="15"/>
                <w:highlight w:val="none"/>
              </w:rPr>
            </w:pPr>
            <w:r>
              <w:rPr>
                <w:rFonts w:hint="eastAsia" w:ascii="宋体" w:hAnsi="宋体" w:eastAsia="宋体" w:cs="宋体"/>
                <w:b w:val="0"/>
                <w:bCs/>
                <w:color w:val="000000"/>
                <w:sz w:val="15"/>
                <w:szCs w:val="15"/>
                <w:highlight w:val="none"/>
              </w:rPr>
              <w:t>环保设施施工单位</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工程排污许可证编号</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2"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验收单位</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eastAsia="zh-CN"/>
              </w:rPr>
              <w:t>新疆中测测试有限责任公司</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环保设施监测单位</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验收监测时工况</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cs="宋体"/>
                <w:b w:val="0"/>
                <w:bCs/>
                <w:color w:val="000000"/>
                <w:kern w:val="2"/>
                <w:sz w:val="15"/>
                <w:szCs w:val="15"/>
                <w:highlight w:val="none"/>
                <w:lang w:val="en-US" w:eastAsia="zh-CN"/>
              </w:rPr>
              <w:t>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投资总概算（万元）</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25000</w:t>
            </w:r>
          </w:p>
        </w:tc>
        <w:tc>
          <w:tcPr>
            <w:tcW w:w="1812" w:type="dxa"/>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环保投资（万元）</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125</w:t>
            </w:r>
          </w:p>
        </w:tc>
        <w:tc>
          <w:tcPr>
            <w:tcW w:w="1538" w:type="dxa"/>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所占比例（%）</w:t>
            </w:r>
          </w:p>
        </w:tc>
        <w:tc>
          <w:tcPr>
            <w:tcW w:w="2526" w:type="dxa"/>
            <w:gridSpan w:val="6"/>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0.5</w:t>
            </w: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实际总投资</w:t>
            </w:r>
          </w:p>
        </w:tc>
        <w:tc>
          <w:tcPr>
            <w:tcW w:w="5200" w:type="dxa"/>
            <w:gridSpan w:val="7"/>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8000</w:t>
            </w:r>
          </w:p>
        </w:tc>
        <w:tc>
          <w:tcPr>
            <w:tcW w:w="1812" w:type="dxa"/>
            <w:gridSpan w:val="2"/>
            <w:noWrap w:val="0"/>
            <w:tcMar>
              <w:left w:w="57" w:type="dxa"/>
              <w:right w:w="57" w:type="dxa"/>
            </w:tcMar>
            <w:vAlign w:val="center"/>
          </w:tcPr>
          <w:p>
            <w:pPr>
              <w:widowControl w:val="0"/>
              <w:autoSpaceDE w:val="0"/>
              <w:autoSpaceDN w:val="0"/>
              <w:spacing w:beforeLines="0" w:line="200" w:lineRule="exact"/>
              <w:ind w:left="0" w:leftChars="0" w:right="300" w:rightChars="0"/>
              <w:jc w:val="both"/>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实际环保投资（</w:t>
            </w:r>
            <w:r>
              <w:rPr>
                <w:rFonts w:hint="eastAsia"/>
                <w:color w:val="000000"/>
                <w:sz w:val="15"/>
                <w:highlight w:val="none"/>
                <w:lang w:val="en-US" w:eastAsia="zh-CN"/>
              </w:rPr>
              <w:t>万</w:t>
            </w:r>
            <w:r>
              <w:rPr>
                <w:rFonts w:hint="eastAsia" w:ascii="宋体" w:hAnsi="宋体" w:eastAsia="宋体"/>
                <w:color w:val="000000"/>
                <w:sz w:val="15"/>
                <w:highlight w:val="none"/>
              </w:rPr>
              <w:t>元）</w:t>
            </w:r>
          </w:p>
        </w:tc>
        <w:tc>
          <w:tcPr>
            <w:tcW w:w="1900"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125</w:t>
            </w:r>
          </w:p>
        </w:tc>
        <w:tc>
          <w:tcPr>
            <w:tcW w:w="1538" w:type="dxa"/>
            <w:gridSpan w:val="2"/>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所占比例（%）</w:t>
            </w:r>
          </w:p>
        </w:tc>
        <w:tc>
          <w:tcPr>
            <w:tcW w:w="2526" w:type="dxa"/>
            <w:gridSpan w:val="6"/>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color w:val="000000"/>
                <w:sz w:val="15"/>
                <w:highlight w:val="none"/>
                <w:lang w:val="en-US" w:eastAsia="zh-CN"/>
              </w:rPr>
              <w:t>1.56</w:t>
            </w:r>
            <w:r>
              <w:rPr>
                <w:rFonts w:hint="eastAsia" w:ascii="宋体" w:hAnsi="宋体" w:eastAsia="宋体"/>
                <w:color w:val="000000"/>
                <w:sz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废水治理（万元）</w:t>
            </w:r>
          </w:p>
        </w:tc>
        <w:tc>
          <w:tcPr>
            <w:tcW w:w="812"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废气治理（万元）</w:t>
            </w:r>
          </w:p>
        </w:tc>
        <w:tc>
          <w:tcPr>
            <w:tcW w:w="1067"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313" w:type="dxa"/>
            <w:gridSpan w:val="3"/>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噪声（万元）</w:t>
            </w:r>
          </w:p>
        </w:tc>
        <w:tc>
          <w:tcPr>
            <w:tcW w:w="525"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812" w:type="dxa"/>
            <w:gridSpan w:val="2"/>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固体废物治理（万元）</w:t>
            </w:r>
          </w:p>
        </w:tc>
        <w:tc>
          <w:tcPr>
            <w:tcW w:w="1900"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绿化及生态（万元）</w:t>
            </w:r>
          </w:p>
        </w:tc>
        <w:tc>
          <w:tcPr>
            <w:tcW w:w="730" w:type="dxa"/>
            <w:gridSpan w:val="2"/>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olor w:val="000000"/>
                <w:sz w:val="15"/>
                <w:highlight w:val="none"/>
              </w:rPr>
              <w:t>其他（万元）</w:t>
            </w:r>
          </w:p>
        </w:tc>
        <w:tc>
          <w:tcPr>
            <w:tcW w:w="753" w:type="dxa"/>
            <w:noWrap w:val="0"/>
            <w:tcMar>
              <w:left w:w="57" w:type="dxa"/>
              <w:right w:w="57" w:type="dxa"/>
            </w:tcMar>
            <w:vAlign w:val="center"/>
          </w:tcPr>
          <w:p>
            <w:pPr>
              <w:widowControl w:val="0"/>
              <w:autoSpaceDE w:val="0"/>
              <w:autoSpaceDN w:val="0"/>
              <w:spacing w:before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宋体" w:hAnsi="宋体" w:eastAsia="宋体" w:cs="宋体"/>
                <w:b w:val="0"/>
                <w:bCs/>
                <w:color w:val="000000"/>
                <w:kern w:val="2"/>
                <w:sz w:val="15"/>
                <w:szCs w:val="15"/>
                <w:highlight w:val="none"/>
              </w:rPr>
            </w:pPr>
          </w:p>
        </w:tc>
        <w:tc>
          <w:tcPr>
            <w:tcW w:w="1656"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新增废水处理设施能力</w:t>
            </w:r>
          </w:p>
        </w:tc>
        <w:tc>
          <w:tcPr>
            <w:tcW w:w="5200" w:type="dxa"/>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812"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新增废气处理设施能力</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年平均工作时</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color w:val="000000"/>
                <w:sz w:val="15"/>
                <w:highlight w:val="none"/>
                <w:lang w:val="en-US" w:eastAsia="zh-CN"/>
              </w:rPr>
              <w:t>365天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2064" w:type="dxa"/>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运营单位</w:t>
            </w:r>
          </w:p>
        </w:tc>
        <w:tc>
          <w:tcPr>
            <w:tcW w:w="4269" w:type="dxa"/>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lang w:val="en-US" w:eastAsia="zh-CN"/>
              </w:rPr>
            </w:pPr>
            <w:r>
              <w:rPr>
                <w:rFonts w:hint="eastAsia" w:ascii="宋体" w:hAnsi="宋体" w:cs="宋体"/>
                <w:b w:val="0"/>
                <w:bCs/>
                <w:color w:val="000000"/>
                <w:kern w:val="2"/>
                <w:sz w:val="15"/>
                <w:szCs w:val="15"/>
                <w:highlight w:val="none"/>
                <w:lang w:val="en-US" w:eastAsia="zh-CN"/>
              </w:rPr>
              <w:t>巴州好绿筑科技有限公司</w:t>
            </w:r>
          </w:p>
        </w:tc>
        <w:tc>
          <w:tcPr>
            <w:tcW w:w="2743" w:type="dxa"/>
            <w:gridSpan w:val="5"/>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运营单位社会统一信用代码（或组织机构代码）</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p>
        </w:tc>
        <w:tc>
          <w:tcPr>
            <w:tcW w:w="153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验收时间</w:t>
            </w:r>
          </w:p>
        </w:tc>
        <w:tc>
          <w:tcPr>
            <w:tcW w:w="2526" w:type="dxa"/>
            <w:gridSpan w:val="6"/>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202</w:t>
            </w:r>
            <w:r>
              <w:rPr>
                <w:rFonts w:hint="eastAsia" w:ascii="宋体" w:hAnsi="宋体" w:cs="宋体"/>
                <w:b w:val="0"/>
                <w:bCs/>
                <w:color w:val="000000"/>
                <w:kern w:val="2"/>
                <w:sz w:val="15"/>
                <w:szCs w:val="15"/>
                <w:highlight w:val="none"/>
                <w:lang w:val="en-US" w:eastAsia="zh-CN"/>
              </w:rPr>
              <w:t>2</w:t>
            </w:r>
            <w:r>
              <w:rPr>
                <w:rFonts w:hint="eastAsia" w:ascii="宋体" w:hAnsi="宋体" w:eastAsia="宋体" w:cs="宋体"/>
                <w:b w:val="0"/>
                <w:bCs/>
                <w:color w:val="000000"/>
                <w:kern w:val="2"/>
                <w:sz w:val="15"/>
                <w:szCs w:val="15"/>
                <w:highlight w:val="none"/>
                <w:lang w:val="en-US" w:eastAsia="zh-CN"/>
              </w:rPr>
              <w:t>年</w:t>
            </w:r>
            <w:r>
              <w:rPr>
                <w:rFonts w:hint="eastAsia" w:ascii="宋体" w:hAnsi="宋体" w:cs="宋体"/>
                <w:b w:val="0"/>
                <w:bCs/>
                <w:color w:val="000000"/>
                <w:kern w:val="2"/>
                <w:sz w:val="15"/>
                <w:szCs w:val="15"/>
                <w:highlight w:val="none"/>
                <w:lang w:val="en-US" w:eastAsia="zh-CN"/>
              </w:rPr>
              <w:t>4</w:t>
            </w:r>
            <w:r>
              <w:rPr>
                <w:rFonts w:hint="eastAsia" w:ascii="宋体" w:hAnsi="宋体" w:eastAsia="宋体" w:cs="宋体"/>
                <w:b w:val="0"/>
                <w:bCs/>
                <w:color w:val="000000"/>
                <w:kern w:val="2"/>
                <w:sz w:val="15"/>
                <w:szCs w:val="15"/>
                <w:highlight w:val="none"/>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566" w:type="dxa"/>
            <w:gridSpan w:val="2"/>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spacing w:val="20"/>
                <w:kern w:val="2"/>
                <w:sz w:val="15"/>
                <w:szCs w:val="15"/>
                <w:highlight w:val="none"/>
                <w:lang w:eastAsia="zh-CN"/>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污染物</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原有排</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放量(1)</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本期工程实际排放浓度(2)</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本期工程允许排放浓度(3)</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本期工程产生量(4)</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本期工程自身削减量(5)</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本期工程实际排放量(6)</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本期工程核定排放总量(7)</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本期工程“以新带老”削减量(8)</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全厂实际排放总量(9)</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全厂核定排放总量(10)</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区域平衡替代削减量(11)</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废水</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default"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化学需氧量</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氨氮</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石油类</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废气</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二氧化硫</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烟尘</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工业粉尘</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氮氧化物</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49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工业固体废物</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041" w:type="dxa"/>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rPr>
              <w:t>与项目有关的其他特征污染物</w:t>
            </w:r>
          </w:p>
        </w:tc>
        <w:tc>
          <w:tcPr>
            <w:tcW w:w="45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041"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45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566"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1041" w:type="dxa"/>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宋体" w:hAnsi="宋体" w:eastAsia="宋体" w:cs="宋体"/>
                <w:b w:val="0"/>
                <w:bCs/>
                <w:color w:val="000000"/>
                <w:kern w:val="2"/>
                <w:sz w:val="15"/>
                <w:szCs w:val="15"/>
                <w:highlight w:val="none"/>
              </w:rPr>
            </w:pPr>
          </w:p>
        </w:tc>
        <w:tc>
          <w:tcPr>
            <w:tcW w:w="45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lang w:val="en-US" w:eastAsia="zh-CN"/>
              </w:rPr>
            </w:pPr>
            <w:r>
              <w:rPr>
                <w:rFonts w:hint="eastAsia" w:ascii="宋体" w:hAnsi="宋体" w:eastAsia="宋体" w:cs="宋体"/>
                <w:b w:val="0"/>
                <w:bCs/>
                <w:color w:val="000000"/>
                <w:kern w:val="2"/>
                <w:sz w:val="15"/>
                <w:szCs w:val="15"/>
                <w:highlight w:val="none"/>
                <w:lang w:val="en-US" w:eastAsia="zh-CN"/>
              </w:rPr>
              <w:t>/</w:t>
            </w:r>
          </w:p>
        </w:tc>
        <w:tc>
          <w:tcPr>
            <w:tcW w:w="81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483"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7"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13"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925"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62"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90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89"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178"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1043" w:type="dxa"/>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c>
          <w:tcPr>
            <w:tcW w:w="754" w:type="dxa"/>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宋体" w:hAnsi="宋体" w:eastAsia="宋体" w:cs="宋体"/>
                <w:b w:val="0"/>
                <w:bCs/>
                <w:color w:val="000000"/>
                <w:kern w:val="2"/>
                <w:sz w:val="15"/>
                <w:szCs w:val="15"/>
                <w:highlight w:val="none"/>
              </w:rPr>
            </w:pPr>
            <w:r>
              <w:rPr>
                <w:rFonts w:hint="eastAsia" w:ascii="宋体" w:hAnsi="宋体" w:eastAsia="宋体" w:cs="宋体"/>
                <w:b w:val="0"/>
                <w:bCs/>
                <w:color w:val="000000"/>
                <w:kern w:val="2"/>
                <w:sz w:val="15"/>
                <w:szCs w:val="15"/>
                <w:highlight w:val="none"/>
                <w:lang w:val="en-US" w:eastAsia="zh-CN"/>
              </w:rPr>
              <w:t>/</w:t>
            </w:r>
          </w:p>
        </w:tc>
      </w:tr>
    </w:tbl>
    <w:p>
      <w:pPr>
        <w:widowControl w:val="0"/>
        <w:autoSpaceDE w:val="0"/>
        <w:autoSpaceDN w:val="0"/>
        <w:spacing w:beforeLines="0"/>
        <w:rPr>
          <w:rFonts w:hint="eastAsia"/>
          <w:lang w:val="en-US" w:eastAsia="zh-CN"/>
        </w:rPr>
        <w:sectPr>
          <w:headerReference r:id="rId14" w:type="default"/>
          <w:footerReference r:id="rId15" w:type="default"/>
          <w:pgSz w:w="16840" w:h="11907" w:orient="landscape"/>
          <w:pgMar w:top="720" w:right="720" w:bottom="720" w:left="720" w:header="284" w:footer="851" w:gutter="0"/>
          <w:pgBorders>
            <w:top w:val="none" w:sz="0" w:space="0"/>
            <w:left w:val="none" w:sz="0" w:space="0"/>
            <w:bottom w:val="none" w:sz="0" w:space="0"/>
            <w:right w:val="none" w:sz="0" w:space="0"/>
          </w:pgBorders>
          <w:lnNumType w:countBy="0" w:distance="360"/>
          <w:pgNumType w:fmt="decimal"/>
          <w:cols w:space="720" w:num="1"/>
          <w:docGrid w:linePitch="285" w:charSpace="0"/>
        </w:sectPr>
      </w:pPr>
      <w:r>
        <w:rPr>
          <w:rFonts w:hint="eastAsia" w:ascii="宋体" w:hAnsi="宋体" w:eastAsia="宋体"/>
          <w:b/>
          <w:color w:val="000000"/>
          <w:sz w:val="15"/>
        </w:rPr>
        <w:t>注：1、</w:t>
      </w:r>
      <w:r>
        <w:rPr>
          <w:rFonts w:hint="eastAsia" w:ascii="宋体" w:hAnsi="宋体" w:eastAsia="宋体"/>
          <w:b/>
          <w:color w:val="000000"/>
          <w:spacing w:val="-4"/>
          <w:sz w:val="15"/>
        </w:rPr>
        <w:t>排放增减量：（+）表示增加，（-）表示减少。2、(12)=(6)-(8)-(11)，（9）= (4)-(5)-(8)- (11) +（1）。3、计量单位：废水排放量——万吨/年；废气排放量——万标立方米/年；工业固体废物排放</w:t>
      </w:r>
      <w:r>
        <w:rPr>
          <w:rFonts w:hint="eastAsia" w:ascii="宋体" w:hAnsi="宋体" w:eastAsia="宋体"/>
          <w:b/>
          <w:color w:val="000000"/>
          <w:sz w:val="15"/>
        </w:rPr>
        <w:t>量——万吨/年；水污染物排放浓度——毫克/升</w:t>
      </w:r>
      <w:r>
        <w:rPr>
          <w:rFonts w:hint="eastAsia" w:ascii="宋体" w:hAnsi="宋体" w:eastAsia="宋体"/>
          <w:b/>
          <w:color w:val="000000"/>
          <w:sz w:val="15"/>
          <w:lang w:eastAsia="zh-CN"/>
        </w:rPr>
        <w:t>；</w:t>
      </w:r>
      <w:r>
        <w:rPr>
          <w:rFonts w:hint="eastAsia" w:ascii="宋体" w:hAnsi="宋体" w:eastAsia="宋体"/>
          <w:b/>
          <w:color w:val="000000"/>
          <w:sz w:val="15"/>
          <w:lang w:val="en-US" w:eastAsia="zh-CN"/>
        </w:rPr>
        <w:t>大气污染物排放浓度</w:t>
      </w:r>
      <w:r>
        <w:rPr>
          <w:rFonts w:hint="eastAsia" w:ascii="宋体" w:hAnsi="宋体" w:eastAsia="宋体"/>
          <w:b/>
          <w:color w:val="000000"/>
          <w:spacing w:val="-4"/>
          <w:sz w:val="15"/>
        </w:rPr>
        <w:t>——</w:t>
      </w:r>
      <w:r>
        <w:rPr>
          <w:rFonts w:hint="eastAsia" w:ascii="宋体" w:hAnsi="宋体" w:eastAsia="宋体"/>
          <w:b/>
          <w:color w:val="000000"/>
          <w:spacing w:val="-4"/>
          <w:sz w:val="15"/>
          <w:lang w:val="en-US" w:eastAsia="zh-CN"/>
        </w:rPr>
        <w:t>毫克/立方米；水污染物排放量</w:t>
      </w:r>
      <w:r>
        <w:rPr>
          <w:rFonts w:hint="eastAsia" w:ascii="宋体" w:hAnsi="宋体" w:eastAsia="宋体"/>
          <w:b/>
          <w:color w:val="000000"/>
          <w:spacing w:val="-4"/>
          <w:sz w:val="15"/>
        </w:rPr>
        <w:t>——</w:t>
      </w:r>
      <w:r>
        <w:rPr>
          <w:rFonts w:hint="eastAsia" w:ascii="宋体" w:hAnsi="宋体" w:eastAsia="宋体"/>
          <w:b/>
          <w:color w:val="000000"/>
          <w:spacing w:val="-4"/>
          <w:sz w:val="15"/>
          <w:lang w:val="en-US" w:eastAsia="zh-CN"/>
        </w:rPr>
        <w:t>吨/年；大气污染物排放量</w:t>
      </w:r>
      <w:r>
        <w:rPr>
          <w:rFonts w:hint="eastAsia" w:ascii="宋体" w:hAnsi="宋体" w:eastAsia="宋体"/>
          <w:b/>
          <w:color w:val="000000"/>
          <w:spacing w:val="-4"/>
          <w:sz w:val="15"/>
        </w:rPr>
        <w:t>——</w:t>
      </w:r>
      <w:r>
        <w:rPr>
          <w:rFonts w:hint="eastAsia" w:ascii="宋体" w:hAnsi="宋体" w:eastAsia="宋体"/>
          <w:b/>
          <w:color w:val="000000"/>
          <w:spacing w:val="-4"/>
          <w:sz w:val="15"/>
          <w:lang w:val="en-US" w:eastAsia="zh-CN"/>
        </w:rPr>
        <w:t>吨</w:t>
      </w:r>
      <w:r>
        <w:rPr>
          <w:rFonts w:hint="eastAsia"/>
          <w:b/>
          <w:color w:val="000000"/>
          <w:spacing w:val="-4"/>
          <w:sz w:val="15"/>
          <w:lang w:val="en-US" w:eastAsia="zh-CN"/>
        </w:rPr>
        <w:t>/年</w:t>
      </w:r>
    </w:p>
    <w:p>
      <w:pPr>
        <w:rPr>
          <w:rFonts w:hint="eastAsia"/>
        </w:rPr>
      </w:pPr>
      <w:r>
        <w:rPr>
          <w:rFonts w:hint="eastAsia"/>
        </w:rPr>
        <w:drawing>
          <wp:anchor distT="0" distB="0" distL="114300" distR="114300" simplePos="0" relativeHeight="251661312" behindDoc="0" locked="0" layoutInCell="1" allowOverlap="1">
            <wp:simplePos x="0" y="0"/>
            <wp:positionH relativeFrom="column">
              <wp:posOffset>4782185</wp:posOffset>
            </wp:positionH>
            <wp:positionV relativeFrom="paragraph">
              <wp:posOffset>134620</wp:posOffset>
            </wp:positionV>
            <wp:extent cx="704850" cy="704850"/>
            <wp:effectExtent l="0" t="0" r="0" b="0"/>
            <wp:wrapNone/>
            <wp:docPr id="36" name="图片 2" descr="库尔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库尔勒"/>
                    <pic:cNvPicPr>
                      <a:picLocks noChangeAspect="1"/>
                    </pic:cNvPicPr>
                  </pic:nvPicPr>
                  <pic:blipFill>
                    <a:blip r:embed="rId20"/>
                    <a:stretch>
                      <a:fillRect/>
                    </a:stretch>
                  </pic:blipFill>
                  <pic:spPr>
                    <a:xfrm>
                      <a:off x="0" y="0"/>
                      <a:ext cx="704850" cy="704850"/>
                    </a:xfrm>
                    <a:prstGeom prst="rect">
                      <a:avLst/>
                    </a:prstGeom>
                    <a:noFill/>
                    <a:ln>
                      <a:noFill/>
                    </a:ln>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-33020</wp:posOffset>
            </wp:positionH>
            <wp:positionV relativeFrom="paragraph">
              <wp:posOffset>58420</wp:posOffset>
            </wp:positionV>
            <wp:extent cx="5525135" cy="7891780"/>
            <wp:effectExtent l="0" t="0" r="8890" b="4445"/>
            <wp:wrapNone/>
            <wp:docPr id="14" name="图片 3" descr="库尔勒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库尔勒市"/>
                    <pic:cNvPicPr>
                      <a:picLocks noChangeAspect="1"/>
                    </pic:cNvPicPr>
                  </pic:nvPicPr>
                  <pic:blipFill>
                    <a:blip r:embed="rId21"/>
                    <a:stretch>
                      <a:fillRect/>
                    </a:stretch>
                  </pic:blipFill>
                  <pic:spPr>
                    <a:xfrm>
                      <a:off x="0" y="0"/>
                      <a:ext cx="5525135" cy="7891780"/>
                    </a:xfrm>
                    <a:prstGeom prst="rect">
                      <a:avLst/>
                    </a:prstGeom>
                    <a:noFill/>
                    <a:ln>
                      <a:noFill/>
                    </a:ln>
                  </pic:spPr>
                </pic:pic>
              </a:graphicData>
            </a:graphic>
          </wp:anchor>
        </w:drawing>
      </w:r>
    </w:p>
    <w:p>
      <w:pPr>
        <w:rPr>
          <w:rFonts w:hint="eastAsia"/>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p>
    <w:p>
      <w:pPr>
        <w:jc w:val="center"/>
        <w:rPr>
          <w:rFonts w:hint="eastAsia"/>
          <w:b/>
          <w:sz w:val="28"/>
          <w:szCs w:val="28"/>
        </w:rPr>
      </w:pPr>
      <w:r>
        <mc:AlternateContent>
          <mc:Choice Requires="wps">
            <w:drawing>
              <wp:anchor distT="0" distB="0" distL="114300" distR="114300" simplePos="0" relativeHeight="251660288" behindDoc="0" locked="0" layoutInCell="1" allowOverlap="1">
                <wp:simplePos x="0" y="0"/>
                <wp:positionH relativeFrom="column">
                  <wp:posOffset>4699000</wp:posOffset>
                </wp:positionH>
                <wp:positionV relativeFrom="paragraph">
                  <wp:posOffset>73660</wp:posOffset>
                </wp:positionV>
                <wp:extent cx="738505" cy="312420"/>
                <wp:effectExtent l="5080" t="5080" r="8890" b="968375"/>
                <wp:wrapNone/>
                <wp:docPr id="16" name="矩形标注 16"/>
                <wp:cNvGraphicFramePr/>
                <a:graphic xmlns:a="http://schemas.openxmlformats.org/drawingml/2006/main">
                  <a:graphicData uri="http://schemas.microsoft.com/office/word/2010/wordprocessingShape">
                    <wps:wsp>
                      <wps:cNvSpPr/>
                      <wps:spPr>
                        <a:xfrm>
                          <a:off x="0" y="0"/>
                          <a:ext cx="738505" cy="312420"/>
                        </a:xfrm>
                        <a:prstGeom prst="wedgeRectCallout">
                          <a:avLst>
                            <a:gd name="adj1" fmla="val -45444"/>
                            <a:gd name="adj2" fmla="val 347356"/>
                          </a:avLst>
                        </a:prstGeom>
                        <a:noFill/>
                        <a:ln w="9525" cap="flat" cmpd="sng">
                          <a:solidFill>
                            <a:srgbClr val="FF0000"/>
                          </a:solidFill>
                          <a:prstDash val="solid"/>
                          <a:miter/>
                          <a:headEnd type="none" w="med" len="med"/>
                          <a:tailEnd type="none" w="med" len="med"/>
                        </a:ln>
                      </wps:spPr>
                      <wps:txbx>
                        <w:txbxContent>
                          <w:p>
                            <w:pPr>
                              <w:rPr>
                                <w:rFonts w:hint="eastAsia"/>
                                <w:b/>
                                <w:bCs/>
                                <w:color w:val="FF0000"/>
                                <w:sz w:val="21"/>
                                <w:szCs w:val="21"/>
                              </w:rPr>
                            </w:pPr>
                            <w:r>
                              <w:rPr>
                                <w:rFonts w:hint="eastAsia"/>
                                <w:b/>
                                <w:bCs/>
                                <w:color w:val="FF0000"/>
                                <w:sz w:val="21"/>
                                <w:szCs w:val="21"/>
                              </w:rPr>
                              <w:t>项目区</w:t>
                            </w:r>
                          </w:p>
                        </w:txbxContent>
                      </wps:txbx>
                      <wps:bodyPr upright="1"/>
                    </wps:wsp>
                  </a:graphicData>
                </a:graphic>
              </wp:anchor>
            </w:drawing>
          </mc:Choice>
          <mc:Fallback>
            <w:pict>
              <v:shape id="_x0000_s1026" o:spid="_x0000_s1026" o:spt="61" type="#_x0000_t61" style="position:absolute;left:0pt;margin-left:370pt;margin-top:5.8pt;height:24.6pt;width:58.15pt;z-index:251660288;mso-width-relative:page;mso-height-relative:page;" filled="f" stroked="t" coordsize="21600,21600" o:gfxdata="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foB3tkAAAAJAQAADwAAAAAAAAABACAAAAAiAAAAZHJzL2Rv&#10;d25yZXYueG1sUEsBAhQAFAAAAAgAh07iQCqYFSU5AgAAZgQAAA4AAAAAAAAAAQAgAAAAKAEAAGRy&#10;cy9lMm9Eb2MueG1sUEsFBgAAAAAGAAYAWQEAANMFAAAAAA==&#10;" adj="984,85829">
                <v:fill on="f" focussize="0,0"/>
                <v:stroke color="#FF0000" joinstyle="miter"/>
                <v:imagedata o:title=""/>
                <o:lock v:ext="edit" aspectratio="f"/>
                <v:textbox>
                  <w:txbxContent>
                    <w:p>
                      <w:pPr>
                        <w:rPr>
                          <w:rFonts w:hint="eastAsia"/>
                          <w:b/>
                          <w:bCs/>
                          <w:color w:val="FF0000"/>
                          <w:sz w:val="21"/>
                          <w:szCs w:val="21"/>
                        </w:rPr>
                      </w:pPr>
                      <w:r>
                        <w:rPr>
                          <w:rFonts w:hint="eastAsia"/>
                          <w:b/>
                          <w:bCs/>
                          <w:color w:val="FF0000"/>
                          <w:sz w:val="21"/>
                          <w:szCs w:val="21"/>
                        </w:rPr>
                        <w:t>项目区</w:t>
                      </w:r>
                    </w:p>
                  </w:txbxContent>
                </v:textbox>
              </v:shape>
            </w:pict>
          </mc:Fallback>
        </mc:AlternateContent>
      </w:r>
    </w:p>
    <w:p>
      <w:pPr>
        <w:jc w:val="center"/>
        <w:rPr>
          <w:rFonts w:hint="eastAsia"/>
          <w:b/>
          <w:sz w:val="28"/>
          <w:szCs w:val="28"/>
        </w:rPr>
      </w:pPr>
    </w:p>
    <w:p>
      <w:pPr>
        <w:jc w:val="center"/>
        <w:rPr>
          <w:rFonts w:hint="eastAsia"/>
          <w:b/>
          <w:sz w:val="28"/>
          <w:szCs w:val="28"/>
        </w:rPr>
      </w:pPr>
    </w:p>
    <w:p>
      <w:pPr>
        <w:jc w:val="center"/>
        <w:rPr>
          <w:rFonts w:hint="eastAsia"/>
          <w:b/>
          <w:sz w:val="28"/>
          <w:szCs w:val="28"/>
        </w:rPr>
      </w:pPr>
      <w:r>
        <w:rPr>
          <w:rFonts w:hint="eastAsia"/>
          <w:b/>
          <w:sz w:val="28"/>
          <w:szCs w:val="28"/>
        </w:rPr>
        <mc:AlternateContent>
          <mc:Choice Requires="wps">
            <w:drawing>
              <wp:anchor distT="0" distB="0" distL="114300" distR="114300" simplePos="0" relativeHeight="251662336" behindDoc="0" locked="0" layoutInCell="1" allowOverlap="1">
                <wp:simplePos x="0" y="0"/>
                <wp:positionH relativeFrom="column">
                  <wp:posOffset>4687570</wp:posOffset>
                </wp:positionH>
                <wp:positionV relativeFrom="paragraph">
                  <wp:posOffset>87630</wp:posOffset>
                </wp:positionV>
                <wp:extent cx="90805" cy="95250"/>
                <wp:effectExtent l="19050" t="19050" r="33020" b="47625"/>
                <wp:wrapNone/>
                <wp:docPr id="17" name="椭圆 17"/>
                <wp:cNvGraphicFramePr/>
                <a:graphic xmlns:a="http://schemas.openxmlformats.org/drawingml/2006/main">
                  <a:graphicData uri="http://schemas.microsoft.com/office/word/2010/wordprocessingShape">
                    <wps:wsp>
                      <wps:cNvSpPr/>
                      <wps:spPr>
                        <a:xfrm>
                          <a:off x="0" y="0"/>
                          <a:ext cx="90805" cy="95250"/>
                        </a:xfrm>
                        <a:prstGeom prst="ellipse">
                          <a:avLst/>
                        </a:prstGeom>
                        <a:solidFill>
                          <a:srgbClr val="FF0000"/>
                        </a:solidFill>
                        <a:ln w="38100" cap="flat" cmpd="sng">
                          <a:solidFill>
                            <a:srgbClr val="FF0000"/>
                          </a:solidFill>
                          <a:prstDash val="solid"/>
                          <a:headEnd type="none" w="med" len="med"/>
                          <a:tailEnd type="none" w="med" len="med"/>
                        </a:ln>
                        <a:effectLst>
                          <a:outerShdw dist="28398" dir="3806096" algn="ctr" rotWithShape="0">
                            <a:srgbClr val="823B0B">
                              <a:alpha val="50000"/>
                            </a:srgbClr>
                          </a:outerShdw>
                        </a:effectLst>
                      </wps:spPr>
                      <wps:bodyPr upright="1"/>
                    </wps:wsp>
                  </a:graphicData>
                </a:graphic>
              </wp:anchor>
            </w:drawing>
          </mc:Choice>
          <mc:Fallback>
            <w:pict>
              <v:shape id="_x0000_s1026" o:spid="_x0000_s1026" o:spt="3" type="#_x0000_t3" style="position:absolute;left:0pt;margin-left:369.1pt;margin-top:6.9pt;height:7.5pt;width:7.15pt;z-index:251662336;mso-width-relative:page;mso-height-relative:page;" fillcolor="#FF0000" filled="t" stroked="t" coordsize="21600,21600" o:gfxdata="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Rksm2AAAAAkBAAAPAAAAAAAAAAEAIAAA&#10;ACIAAABkcnMvZG93bnJldi54bWxQSwECFAAUAAAACACHTuJAQJwLU0UCAAC+BAAADgAAAAAAAAAB&#10;ACAAAAAnAQAAZHJzL2Uyb0RvYy54bWxQSwUGAAAAAAYABgBZAQAA3gUAAAAA&#10;">
                <v:fill on="t" focussize="0,0"/>
                <v:stroke weight="3pt" color="#FF0000" joinstyle="round"/>
                <v:imagedata o:title=""/>
                <o:lock v:ext="edit" aspectratio="f"/>
                <v:shadow on="t" color="#823B0B" opacity="32768f" offset="1pt,2pt" origin="0f,0f" matrix="65536f,0f,0f,65536f"/>
              </v:shape>
            </w:pict>
          </mc:Fallback>
        </mc:AlternateContent>
      </w:r>
    </w:p>
    <w:p>
      <w:pPr>
        <w:jc w:val="cente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jc w:val="center"/>
        <w:rPr>
          <w:rFonts w:hint="eastAsia" w:hAnsi="宋体"/>
          <w:b/>
          <w:bCs/>
          <w:sz w:val="28"/>
          <w:szCs w:val="28"/>
        </w:rPr>
        <w:sectPr>
          <w:headerReference r:id="rId16" w:type="default"/>
          <w:footerReference r:id="rId17"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pPr>
      <w:r>
        <w:rPr>
          <w:rFonts w:hint="eastAsia"/>
          <w:b/>
          <w:sz w:val="28"/>
          <w:szCs w:val="28"/>
        </w:rPr>
        <w:t xml:space="preserve">附图1    </w:t>
      </w:r>
      <w:r>
        <w:rPr>
          <w:rFonts w:hint="eastAsia" w:hAnsi="宋体"/>
          <w:b/>
          <w:bCs/>
          <w:sz w:val="28"/>
          <w:szCs w:val="28"/>
        </w:rPr>
        <w:t>建设项目地理位置示意图</w:t>
      </w:r>
    </w:p>
    <w:p>
      <w:pPr>
        <w:bidi w:val="0"/>
        <w:rPr>
          <w:rFonts w:hint="eastAsia"/>
          <w:b/>
          <w:bCs/>
          <w:lang w:val="en-US" w:eastAsia="zh-CN"/>
        </w:rPr>
      </w:pPr>
      <w:r>
        <w:rPr>
          <w:rFonts w:hint="eastAsia"/>
          <w:b/>
          <w:bCs/>
          <w:lang w:val="en-US" w:eastAsia="zh-CN"/>
        </w:rPr>
        <w:t>附件2   批复</w:t>
      </w:r>
    </w:p>
    <w:p>
      <w:pPr>
        <w:bidi w:val="0"/>
        <w:ind w:firstLine="217" w:firstLineChars="0"/>
        <w:jc w:val="left"/>
        <w:rPr>
          <w:rFonts w:hint="eastAsia"/>
          <w:lang w:val="en-US" w:eastAsia="zh-CN"/>
        </w:rPr>
      </w:pPr>
      <w:r>
        <w:rPr>
          <w:rFonts w:hint="eastAsia"/>
          <w:lang w:val="en-US" w:eastAsia="zh-CN"/>
        </w:rPr>
        <w:drawing>
          <wp:inline distT="0" distB="0" distL="114300" distR="114300">
            <wp:extent cx="5263515" cy="7441565"/>
            <wp:effectExtent l="0" t="0" r="3810" b="6985"/>
            <wp:docPr id="43" name="图片 43" descr="（批复）关于绿色装配式建筑产业园建设项目(一期)环境影响报告表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批复）关于绿色装配式建筑产业园建设项目(一期)环境影响报告表的批复_00"/>
                    <pic:cNvPicPr>
                      <a:picLocks noChangeAspect="1"/>
                    </pic:cNvPicPr>
                  </pic:nvPicPr>
                  <pic:blipFill>
                    <a:blip r:embed="rId22"/>
                    <a:stretch>
                      <a:fillRect/>
                    </a:stretch>
                  </pic:blipFill>
                  <pic:spPr>
                    <a:xfrm>
                      <a:off x="0" y="0"/>
                      <a:ext cx="5263515" cy="7441565"/>
                    </a:xfrm>
                    <a:prstGeom prst="rect">
                      <a:avLst/>
                    </a:prstGeom>
                  </pic:spPr>
                </pic:pic>
              </a:graphicData>
            </a:graphic>
          </wp:inline>
        </w:drawing>
      </w:r>
    </w:p>
    <w:p>
      <w:pPr>
        <w:pStyle w:val="7"/>
        <w:rPr>
          <w:rFonts w:hint="eastAsia"/>
          <w:lang w:val="en-US" w:eastAsia="zh-CN"/>
        </w:rPr>
      </w:pPr>
      <w:r>
        <w:rPr>
          <w:rFonts w:hint="eastAsia"/>
          <w:lang w:val="en-US" w:eastAsia="zh-CN"/>
        </w:rPr>
        <w:drawing>
          <wp:inline distT="0" distB="0" distL="114300" distR="114300">
            <wp:extent cx="5263515" cy="7441565"/>
            <wp:effectExtent l="0" t="0" r="3810" b="6985"/>
            <wp:docPr id="42" name="图片 42" descr="（批复）关于绿色装配式建筑产业园建设项目(一期)环境影响报告表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批复）关于绿色装配式建筑产业园建设项目(一期)环境影响报告表的批复_01"/>
                    <pic:cNvPicPr>
                      <a:picLocks noChangeAspect="1"/>
                    </pic:cNvPicPr>
                  </pic:nvPicPr>
                  <pic:blipFill>
                    <a:blip r:embed="rId23"/>
                    <a:stretch>
                      <a:fillRect/>
                    </a:stretch>
                  </pic:blipFill>
                  <pic:spPr>
                    <a:xfrm>
                      <a:off x="0" y="0"/>
                      <a:ext cx="5263515" cy="7441565"/>
                    </a:xfrm>
                    <a:prstGeom prst="rect">
                      <a:avLst/>
                    </a:prstGeom>
                  </pic:spPr>
                </pic:pic>
              </a:graphicData>
            </a:graphic>
          </wp:inline>
        </w:drawing>
      </w:r>
      <w:r>
        <w:rPr>
          <w:rFonts w:hint="eastAsia"/>
          <w:lang w:val="en-US" w:eastAsia="zh-CN"/>
        </w:rPr>
        <w:drawing>
          <wp:inline distT="0" distB="0" distL="114300" distR="114300">
            <wp:extent cx="5263515" cy="7441565"/>
            <wp:effectExtent l="0" t="0" r="3810" b="6985"/>
            <wp:docPr id="37" name="图片 37" descr="（批复）关于绿色装配式建筑产业园建设项目(一期)环境影响报告表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批复）关于绿色装配式建筑产业园建设项目(一期)环境影响报告表的批复_02"/>
                    <pic:cNvPicPr>
                      <a:picLocks noChangeAspect="1"/>
                    </pic:cNvPicPr>
                  </pic:nvPicPr>
                  <pic:blipFill>
                    <a:blip r:embed="rId24"/>
                    <a:stretch>
                      <a:fillRect/>
                    </a:stretch>
                  </pic:blipFill>
                  <pic:spPr>
                    <a:xfrm>
                      <a:off x="0" y="0"/>
                      <a:ext cx="5263515" cy="7441565"/>
                    </a:xfrm>
                    <a:prstGeom prst="rect">
                      <a:avLst/>
                    </a:prstGeom>
                  </pic:spPr>
                </pic:pic>
              </a:graphicData>
            </a:graphic>
          </wp:inline>
        </w:drawing>
      </w:r>
    </w:p>
    <w:p>
      <w:pPr>
        <w:bidi w:val="0"/>
        <w:rPr>
          <w:rFonts w:hint="default"/>
          <w:lang w:val="en-US" w:eastAsia="zh-CN"/>
        </w:rPr>
      </w:pPr>
    </w:p>
    <w:p>
      <w:pPr>
        <w:pStyle w:val="2"/>
        <w:rPr>
          <w:rFonts w:hint="default"/>
          <w:lang w:eastAsia="zh-CN"/>
        </w:rPr>
      </w:pPr>
    </w:p>
    <w:p>
      <w:pPr>
        <w:bidi w:val="0"/>
        <w:rPr>
          <w:rFonts w:hint="default"/>
          <w:lang w:eastAsia="zh-CN"/>
        </w:rPr>
      </w:pPr>
    </w:p>
    <w:p>
      <w:pPr>
        <w:bidi w:val="0"/>
        <w:rPr>
          <w:rFonts w:hint="default"/>
          <w:lang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right"/>
    </w:pP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4927600</wp:posOffset>
              </wp:positionH>
              <wp:positionV relativeFrom="paragraph">
                <wp:posOffset>0</wp:posOffset>
              </wp:positionV>
              <wp:extent cx="1828800" cy="1828800"/>
              <wp:effectExtent l="0" t="0" r="0" b="0"/>
              <wp:wrapNone/>
              <wp:docPr id="7"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p>
                      </w:txbxContent>
                    </wps:txbx>
                    <wps:bodyPr wrap="none" lIns="0" tIns="0" rIns="0" bIns="0" upright="0">
                      <a:spAutoFit/>
                    </wps:bodyPr>
                  </wps:wsp>
                </a:graphicData>
              </a:graphic>
            </wp:anchor>
          </w:drawing>
        </mc:Choice>
        <mc:Fallback>
          <w:pict>
            <v:shape id="文本框 72" o:spid="_x0000_s1026" o:spt="202" type="#_x0000_t202" style="position:absolute;left:0pt;margin-left:388pt;margin-top:0pt;height:144pt;width:144pt;mso-position-horizontal-relative:margin;mso-wrap-style:none;z-index:251660288;mso-width-relative:page;mso-height-relative:page;" filled="f" stroked="f" coordsize="21600,21600" o:gfxdata="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NclbVAAAACQEAAA8AAAAAAAAAAQAgAAAAIgAAAGRycy9kb3du&#10;cmV2LnhtbFBLAQIUABQAAAAIAIdO4kB2CzHUyQEAAJoDAAAOAAAAAAAAAAEAIAAAACQBAABkcnMv&#10;ZTJvRG9jLnhtbFBLBQYAAAAABgAGAFkBAABfBQAAAAA=&#10;">
              <v:fill on="f" focussize="0,0"/>
              <v:stroke on="f"/>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4927600</wp:posOffset>
              </wp:positionH>
              <wp:positionV relativeFrom="paragraph">
                <wp:posOffset>0</wp:posOffset>
              </wp:positionV>
              <wp:extent cx="1828800" cy="1828800"/>
              <wp:effectExtent l="0" t="0" r="0" b="0"/>
              <wp:wrapNone/>
              <wp:docPr id="9"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p>
                      </w:txbxContent>
                    </wps:txbx>
                    <wps:bodyPr wrap="none" lIns="0" tIns="0" rIns="0" bIns="0" upright="0">
                      <a:spAutoFit/>
                    </wps:bodyPr>
                  </wps:wsp>
                </a:graphicData>
              </a:graphic>
            </wp:anchor>
          </w:drawing>
        </mc:Choice>
        <mc:Fallback>
          <w:pict>
            <v:shape id="文本框 72" o:spid="_x0000_s1026" o:spt="202" type="#_x0000_t202" style="position:absolute;left:0pt;margin-left:388pt;margin-top:0pt;height:144pt;width:144pt;mso-position-horizontal-relative:margin;mso-wrap-style:none;z-index:251662336;mso-width-relative:page;mso-height-relative:page;" filled="f" stroked="f" coordsize="21600,21600" o:gfxdata="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KNclbVAAAACQEAAA8AAAAAAAAAAQAgAAAAIgAAAGRycy9kb3du&#10;cmV2LnhtbFBLAQIUABQAAAAIAIdO4kBO/NLkyQEAAJoDAAAOAAAAAAAAAAEAIAAAACQBAABkcnMv&#10;ZTJvRG9jLnhtbFBLBQYAAAAABgAGAFkBAABfBQAAAAA=&#10;">
              <v:fill on="f" focussize="0,0"/>
              <v:stroke on="f"/>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Lines="0" w:afterLines="0"/>
      <w:jc w:val="center"/>
      <w:rPr>
        <w:rFonts w:hint="eastAsia" w:eastAsia="宋体"/>
        <w:sz w:val="18"/>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xxiii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xxiii</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Lines="0" w:afterLines="0"/>
      <w:jc w:val="center"/>
      <w:rPr>
        <w:rFonts w:hint="eastAsia" w:eastAsia="宋体"/>
        <w:sz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xxxix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xxxix</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posOffset>4927600</wp:posOffset>
              </wp:positionH>
              <wp:positionV relativeFrom="paragraph">
                <wp:posOffset>0</wp:posOffset>
              </wp:positionV>
              <wp:extent cx="1828800" cy="1828800"/>
              <wp:effectExtent l="0" t="0" r="0" b="0"/>
              <wp:wrapNone/>
              <wp:docPr id="8"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p>
                      </w:txbxContent>
                    </wps:txbx>
                    <wps:bodyPr wrap="none" lIns="0" tIns="0" rIns="0" bIns="0" upright="0">
                      <a:spAutoFit/>
                    </wps:bodyPr>
                  </wps:wsp>
                </a:graphicData>
              </a:graphic>
            </wp:anchor>
          </w:drawing>
        </mc:Choice>
        <mc:Fallback>
          <w:pict>
            <v:shape id="文本框 83" o:spid="_x0000_s1026" o:spt="202" type="#_x0000_t202" style="position:absolute;left:0pt;margin-left:388pt;margin-top:0pt;height:144pt;width:144pt;mso-position-horizontal-relative:margin;mso-wrap-style:none;z-index:251661312;mso-width-relative:page;mso-height-relative:page;" filled="f" stroked="f" coordsize="21600,21600" o:gfxdata="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oo1yVtUAAAAJAQAADwAAAAAAAAABACAAAAAiAAAAZHJzL2Rvd25y&#10;ZXYueG1sUEsBAhQAFAAAAAgAh07iQISgMqXIAQAAmgMAAA4AAAAAAAAAAQAgAAAAJAEAAGRycy9l&#10;Mm9Eb2MueG1sUEsFBgAAAAAGAAYAWQEAAF4FAAAAAA==&#10;">
              <v:fill on="f" focussize="0,0"/>
              <v:stroke on="f"/>
              <v:imagedata o:title=""/>
              <o:lock v:ext="edit" aspectratio="f"/>
              <v:textbox inset="0mm,0mm,0mm,0mm" style="mso-fit-shape-to-text:t;">
                <w:txbxContent>
                  <w:p>
                    <w:pPr>
                      <w:pStyle w:val="15"/>
                      <w:rPr>
                        <w:rFonts w:hint="eastAsia" w:eastAsia="宋体"/>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jc w:val="center"/>
      <w:rPr>
        <w:b w:val="0"/>
        <w:bCs w:val="0"/>
      </w:rPr>
    </w:pPr>
    <w:r>
      <w:rPr>
        <w:rFonts w:hint="eastAsia" w:cs="Times New Roman"/>
        <w:b w:val="0"/>
        <w:bCs w:val="0"/>
        <w:color w:val="000000"/>
        <w:sz w:val="21"/>
        <w:szCs w:val="21"/>
        <w:lang w:eastAsia="zh-CN"/>
      </w:rPr>
      <w:t>巴州好绿筑科技有限公司绿色装配式建筑产业园建设项目（一期）</w:t>
    </w:r>
    <w:r>
      <w:rPr>
        <w:rFonts w:hint="default" w:ascii="Times New Roman" w:hAnsi="Times New Roman" w:cs="Times New Roman"/>
        <w:b w:val="0"/>
        <w:bCs w:val="0"/>
        <w:color w:val="000000"/>
        <w:sz w:val="21"/>
        <w:szCs w:val="21"/>
      </w:rPr>
      <w:t>竣工环境保护验收监测报告</w:t>
    </w:r>
    <w:r>
      <w:rPr>
        <w:rFonts w:hint="eastAsia" w:cs="Times New Roman"/>
        <w:b w:val="0"/>
        <w:bCs w:val="0"/>
        <w:color w:val="000000"/>
        <w:sz w:val="21"/>
        <w:szCs w:val="21"/>
        <w:lang w:eastAsia="zh-CN"/>
      </w:rPr>
      <w:t>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pPr>
    <w:r>
      <w:rPr>
        <w:rFonts w:hint="eastAsia" w:ascii="宋体" w:hAnsi="宋体" w:cs="宋体"/>
        <w:b w:val="0"/>
        <w:bCs w:val="0"/>
        <w:sz w:val="21"/>
        <w:szCs w:val="21"/>
        <w:lang w:val="en-US" w:eastAsia="zh-CN"/>
      </w:rPr>
      <w:t>巴州好绿筑科技有限公司绿色装配式建筑产业园建设项目（一期）</w:t>
    </w:r>
    <w:r>
      <w:rPr>
        <w:rFonts w:hint="eastAsia" w:ascii="宋体" w:hAnsi="宋体" w:eastAsia="宋体" w:cs="宋体"/>
        <w:b w:val="0"/>
        <w:bCs w:val="0"/>
        <w:sz w:val="21"/>
        <w:szCs w:val="21"/>
        <w:lang w:val="en-US" w:eastAsia="zh-CN"/>
      </w:rPr>
      <w:t>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after="0"/>
      <w:jc w:val="center"/>
      <w:rPr>
        <w:b w:val="0"/>
        <w:b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20"/>
  <w:drawingGridVerticalSpacing w:val="159"/>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9A40BF"/>
    <w:rsid w:val="0000301A"/>
    <w:rsid w:val="00005849"/>
    <w:rsid w:val="00015A72"/>
    <w:rsid w:val="000525E7"/>
    <w:rsid w:val="00055E01"/>
    <w:rsid w:val="000F682C"/>
    <w:rsid w:val="000F6C56"/>
    <w:rsid w:val="00140F6B"/>
    <w:rsid w:val="0017036D"/>
    <w:rsid w:val="00173B9E"/>
    <w:rsid w:val="00191F92"/>
    <w:rsid w:val="001A5A08"/>
    <w:rsid w:val="001D07AC"/>
    <w:rsid w:val="00210FF0"/>
    <w:rsid w:val="002204E6"/>
    <w:rsid w:val="00226B9B"/>
    <w:rsid w:val="00226D92"/>
    <w:rsid w:val="0024300E"/>
    <w:rsid w:val="00245CF4"/>
    <w:rsid w:val="00294398"/>
    <w:rsid w:val="002B0085"/>
    <w:rsid w:val="002F6843"/>
    <w:rsid w:val="00305F0F"/>
    <w:rsid w:val="00310C84"/>
    <w:rsid w:val="003144B9"/>
    <w:rsid w:val="0036784F"/>
    <w:rsid w:val="003A101E"/>
    <w:rsid w:val="003A6AEF"/>
    <w:rsid w:val="003E2C91"/>
    <w:rsid w:val="003F2243"/>
    <w:rsid w:val="004002A6"/>
    <w:rsid w:val="0044222C"/>
    <w:rsid w:val="004F64F5"/>
    <w:rsid w:val="00520030"/>
    <w:rsid w:val="00526779"/>
    <w:rsid w:val="00562143"/>
    <w:rsid w:val="00592673"/>
    <w:rsid w:val="005A6705"/>
    <w:rsid w:val="005B2DFE"/>
    <w:rsid w:val="005D393B"/>
    <w:rsid w:val="005F5E8F"/>
    <w:rsid w:val="006423E1"/>
    <w:rsid w:val="00650487"/>
    <w:rsid w:val="00665DB9"/>
    <w:rsid w:val="00674E18"/>
    <w:rsid w:val="006777D4"/>
    <w:rsid w:val="00685F5B"/>
    <w:rsid w:val="006C38F1"/>
    <w:rsid w:val="006C740B"/>
    <w:rsid w:val="006F1406"/>
    <w:rsid w:val="00734F0C"/>
    <w:rsid w:val="007714AB"/>
    <w:rsid w:val="00772A15"/>
    <w:rsid w:val="00796232"/>
    <w:rsid w:val="007B5E65"/>
    <w:rsid w:val="007C4B5D"/>
    <w:rsid w:val="007D16F4"/>
    <w:rsid w:val="00866A84"/>
    <w:rsid w:val="00867771"/>
    <w:rsid w:val="008C5E60"/>
    <w:rsid w:val="008D7D7F"/>
    <w:rsid w:val="00924802"/>
    <w:rsid w:val="009A0E12"/>
    <w:rsid w:val="009A40BF"/>
    <w:rsid w:val="009D5BAB"/>
    <w:rsid w:val="009E20BB"/>
    <w:rsid w:val="00A136F8"/>
    <w:rsid w:val="00A249DB"/>
    <w:rsid w:val="00A25F1A"/>
    <w:rsid w:val="00A41434"/>
    <w:rsid w:val="00A54656"/>
    <w:rsid w:val="00A76D19"/>
    <w:rsid w:val="00AA41E3"/>
    <w:rsid w:val="00AD46A9"/>
    <w:rsid w:val="00AE308E"/>
    <w:rsid w:val="00AF5E5C"/>
    <w:rsid w:val="00B25A14"/>
    <w:rsid w:val="00B307B7"/>
    <w:rsid w:val="00B77AB5"/>
    <w:rsid w:val="00BA4F13"/>
    <w:rsid w:val="00BA7B76"/>
    <w:rsid w:val="00BB4125"/>
    <w:rsid w:val="00BE6D52"/>
    <w:rsid w:val="00C11111"/>
    <w:rsid w:val="00C20F3F"/>
    <w:rsid w:val="00C727D1"/>
    <w:rsid w:val="00C8284D"/>
    <w:rsid w:val="00CA2BB5"/>
    <w:rsid w:val="00CB0A4E"/>
    <w:rsid w:val="00D25398"/>
    <w:rsid w:val="00D46ADA"/>
    <w:rsid w:val="00D70271"/>
    <w:rsid w:val="00D72247"/>
    <w:rsid w:val="00D8516B"/>
    <w:rsid w:val="00DB1AD1"/>
    <w:rsid w:val="00DB3D0F"/>
    <w:rsid w:val="00DD2A5D"/>
    <w:rsid w:val="00E0402D"/>
    <w:rsid w:val="00E0496E"/>
    <w:rsid w:val="00E10530"/>
    <w:rsid w:val="00E35C4C"/>
    <w:rsid w:val="00E83DDF"/>
    <w:rsid w:val="00E90C77"/>
    <w:rsid w:val="00EB27CA"/>
    <w:rsid w:val="00EC043E"/>
    <w:rsid w:val="00EC384A"/>
    <w:rsid w:val="00EC676A"/>
    <w:rsid w:val="00ED4FF2"/>
    <w:rsid w:val="00F12820"/>
    <w:rsid w:val="00F14383"/>
    <w:rsid w:val="00F507C4"/>
    <w:rsid w:val="00F73E09"/>
    <w:rsid w:val="00F84557"/>
    <w:rsid w:val="00FA27AA"/>
    <w:rsid w:val="00FC596E"/>
    <w:rsid w:val="00FD5ED2"/>
    <w:rsid w:val="00FE5AB5"/>
    <w:rsid w:val="00FF0B48"/>
    <w:rsid w:val="01272D6A"/>
    <w:rsid w:val="01593267"/>
    <w:rsid w:val="015A5F5D"/>
    <w:rsid w:val="01816774"/>
    <w:rsid w:val="0183253E"/>
    <w:rsid w:val="019E35FD"/>
    <w:rsid w:val="01A4333C"/>
    <w:rsid w:val="01A71975"/>
    <w:rsid w:val="01A724AF"/>
    <w:rsid w:val="02020211"/>
    <w:rsid w:val="021133E6"/>
    <w:rsid w:val="0270074A"/>
    <w:rsid w:val="02DB2F1B"/>
    <w:rsid w:val="02EF0047"/>
    <w:rsid w:val="036B451C"/>
    <w:rsid w:val="03835299"/>
    <w:rsid w:val="03B050C6"/>
    <w:rsid w:val="03B07CD7"/>
    <w:rsid w:val="03CC050E"/>
    <w:rsid w:val="03CD4069"/>
    <w:rsid w:val="03DB57DB"/>
    <w:rsid w:val="0487222B"/>
    <w:rsid w:val="04CA4546"/>
    <w:rsid w:val="05455C31"/>
    <w:rsid w:val="058D7248"/>
    <w:rsid w:val="05E86F0F"/>
    <w:rsid w:val="065324AC"/>
    <w:rsid w:val="065D599B"/>
    <w:rsid w:val="076E33BC"/>
    <w:rsid w:val="079B245C"/>
    <w:rsid w:val="07F43397"/>
    <w:rsid w:val="08680152"/>
    <w:rsid w:val="08757811"/>
    <w:rsid w:val="08AA53A4"/>
    <w:rsid w:val="096F5EA3"/>
    <w:rsid w:val="099879FD"/>
    <w:rsid w:val="0A9B42C8"/>
    <w:rsid w:val="0B6038AD"/>
    <w:rsid w:val="0B822BA5"/>
    <w:rsid w:val="0BAB6B7A"/>
    <w:rsid w:val="0BB324E6"/>
    <w:rsid w:val="0BC47559"/>
    <w:rsid w:val="0BD40BA7"/>
    <w:rsid w:val="0C001349"/>
    <w:rsid w:val="0C21594C"/>
    <w:rsid w:val="0C270C08"/>
    <w:rsid w:val="0C3B0C81"/>
    <w:rsid w:val="0C62124D"/>
    <w:rsid w:val="0D6A2E5A"/>
    <w:rsid w:val="0D7A5307"/>
    <w:rsid w:val="0D8D6A5A"/>
    <w:rsid w:val="0DD3683D"/>
    <w:rsid w:val="0E122FF9"/>
    <w:rsid w:val="0E133529"/>
    <w:rsid w:val="0E3C71E0"/>
    <w:rsid w:val="0E6274A6"/>
    <w:rsid w:val="0E821A12"/>
    <w:rsid w:val="0F101F49"/>
    <w:rsid w:val="0F15793C"/>
    <w:rsid w:val="0F667824"/>
    <w:rsid w:val="0F9C67B1"/>
    <w:rsid w:val="0FA04426"/>
    <w:rsid w:val="10593B12"/>
    <w:rsid w:val="107C474A"/>
    <w:rsid w:val="10897FA2"/>
    <w:rsid w:val="109C2BE7"/>
    <w:rsid w:val="11AE1D49"/>
    <w:rsid w:val="11AF02B3"/>
    <w:rsid w:val="11D97C48"/>
    <w:rsid w:val="11E34A3F"/>
    <w:rsid w:val="121908C8"/>
    <w:rsid w:val="123E1318"/>
    <w:rsid w:val="124D33E0"/>
    <w:rsid w:val="125D24A9"/>
    <w:rsid w:val="12B663F0"/>
    <w:rsid w:val="12D20BD4"/>
    <w:rsid w:val="12EF6590"/>
    <w:rsid w:val="131E17EC"/>
    <w:rsid w:val="137C1A26"/>
    <w:rsid w:val="13A24FEB"/>
    <w:rsid w:val="13A56B40"/>
    <w:rsid w:val="140D67D5"/>
    <w:rsid w:val="146F13C7"/>
    <w:rsid w:val="14A61A12"/>
    <w:rsid w:val="14A93761"/>
    <w:rsid w:val="14B02C98"/>
    <w:rsid w:val="14DF5BE0"/>
    <w:rsid w:val="14EA7AFB"/>
    <w:rsid w:val="14F01168"/>
    <w:rsid w:val="151F6168"/>
    <w:rsid w:val="15713098"/>
    <w:rsid w:val="1599665B"/>
    <w:rsid w:val="15B92E79"/>
    <w:rsid w:val="165C2A99"/>
    <w:rsid w:val="16A67778"/>
    <w:rsid w:val="16C32C2F"/>
    <w:rsid w:val="16C541D9"/>
    <w:rsid w:val="16DE5B01"/>
    <w:rsid w:val="170B7A55"/>
    <w:rsid w:val="178A057C"/>
    <w:rsid w:val="178F1E37"/>
    <w:rsid w:val="17E802C2"/>
    <w:rsid w:val="185318E3"/>
    <w:rsid w:val="187D12A8"/>
    <w:rsid w:val="188A6E6A"/>
    <w:rsid w:val="188B24A8"/>
    <w:rsid w:val="19030FD0"/>
    <w:rsid w:val="19516857"/>
    <w:rsid w:val="19784283"/>
    <w:rsid w:val="198C4B2D"/>
    <w:rsid w:val="19E26A8B"/>
    <w:rsid w:val="1AD738A1"/>
    <w:rsid w:val="1B293FB5"/>
    <w:rsid w:val="1BA96E51"/>
    <w:rsid w:val="1C155A31"/>
    <w:rsid w:val="1C183152"/>
    <w:rsid w:val="1C436545"/>
    <w:rsid w:val="1C93185D"/>
    <w:rsid w:val="1CD95787"/>
    <w:rsid w:val="1CE125C8"/>
    <w:rsid w:val="1CEC044C"/>
    <w:rsid w:val="1CEC3DE3"/>
    <w:rsid w:val="1DA14DE6"/>
    <w:rsid w:val="1E316F24"/>
    <w:rsid w:val="1E6A27AD"/>
    <w:rsid w:val="1E780319"/>
    <w:rsid w:val="1E9F46C2"/>
    <w:rsid w:val="1EB46B65"/>
    <w:rsid w:val="1EBB09B0"/>
    <w:rsid w:val="1EE17C56"/>
    <w:rsid w:val="1EE83801"/>
    <w:rsid w:val="1EEC4CE8"/>
    <w:rsid w:val="1F143F6D"/>
    <w:rsid w:val="1F341787"/>
    <w:rsid w:val="1F367008"/>
    <w:rsid w:val="1F9D4BD7"/>
    <w:rsid w:val="1FE967FE"/>
    <w:rsid w:val="206F7B54"/>
    <w:rsid w:val="20986018"/>
    <w:rsid w:val="21164DAD"/>
    <w:rsid w:val="217C32FB"/>
    <w:rsid w:val="21806BDD"/>
    <w:rsid w:val="21A30EF4"/>
    <w:rsid w:val="21BE6B2D"/>
    <w:rsid w:val="21DA7D4D"/>
    <w:rsid w:val="22244302"/>
    <w:rsid w:val="22795DE0"/>
    <w:rsid w:val="22D352D7"/>
    <w:rsid w:val="231971ED"/>
    <w:rsid w:val="23890E03"/>
    <w:rsid w:val="23F25AC3"/>
    <w:rsid w:val="2481779E"/>
    <w:rsid w:val="24BA1E20"/>
    <w:rsid w:val="24BB6331"/>
    <w:rsid w:val="24DD796D"/>
    <w:rsid w:val="24F741C9"/>
    <w:rsid w:val="24FB23E2"/>
    <w:rsid w:val="25186089"/>
    <w:rsid w:val="252A5E4C"/>
    <w:rsid w:val="252B197B"/>
    <w:rsid w:val="25E80F02"/>
    <w:rsid w:val="25F22596"/>
    <w:rsid w:val="260E00D3"/>
    <w:rsid w:val="2627296F"/>
    <w:rsid w:val="26552D94"/>
    <w:rsid w:val="265B2D2D"/>
    <w:rsid w:val="265E1CFA"/>
    <w:rsid w:val="26FC41E4"/>
    <w:rsid w:val="272F06BB"/>
    <w:rsid w:val="27BE4E6A"/>
    <w:rsid w:val="284018A7"/>
    <w:rsid w:val="286304F0"/>
    <w:rsid w:val="28955DA3"/>
    <w:rsid w:val="28F06AA2"/>
    <w:rsid w:val="29EB4008"/>
    <w:rsid w:val="2A213315"/>
    <w:rsid w:val="2A600AFC"/>
    <w:rsid w:val="2AC113E4"/>
    <w:rsid w:val="2AE95F3D"/>
    <w:rsid w:val="2B0128EC"/>
    <w:rsid w:val="2B331FE7"/>
    <w:rsid w:val="2B336FC4"/>
    <w:rsid w:val="2B3C6F83"/>
    <w:rsid w:val="2B6A0626"/>
    <w:rsid w:val="2B6D387C"/>
    <w:rsid w:val="2B900774"/>
    <w:rsid w:val="2C8C65B1"/>
    <w:rsid w:val="2CD94B7D"/>
    <w:rsid w:val="2D3D2805"/>
    <w:rsid w:val="2D412379"/>
    <w:rsid w:val="2D9E7867"/>
    <w:rsid w:val="2DC518AD"/>
    <w:rsid w:val="2DCF4D35"/>
    <w:rsid w:val="2E087738"/>
    <w:rsid w:val="2E5C31DB"/>
    <w:rsid w:val="2F201F28"/>
    <w:rsid w:val="2F595851"/>
    <w:rsid w:val="30025FFD"/>
    <w:rsid w:val="301D1400"/>
    <w:rsid w:val="3070335D"/>
    <w:rsid w:val="310B0EE0"/>
    <w:rsid w:val="31177A1A"/>
    <w:rsid w:val="315E56F8"/>
    <w:rsid w:val="316D6DF5"/>
    <w:rsid w:val="31705CDD"/>
    <w:rsid w:val="31994EE8"/>
    <w:rsid w:val="319E4C47"/>
    <w:rsid w:val="31D00A26"/>
    <w:rsid w:val="31D02377"/>
    <w:rsid w:val="323B7B86"/>
    <w:rsid w:val="32A86C7F"/>
    <w:rsid w:val="332D67C6"/>
    <w:rsid w:val="33EF6D9F"/>
    <w:rsid w:val="345C2CC3"/>
    <w:rsid w:val="34611D26"/>
    <w:rsid w:val="34AE4943"/>
    <w:rsid w:val="34EC0DDA"/>
    <w:rsid w:val="34FB0301"/>
    <w:rsid w:val="3516356F"/>
    <w:rsid w:val="35171E1F"/>
    <w:rsid w:val="351C116C"/>
    <w:rsid w:val="35313A92"/>
    <w:rsid w:val="353B2246"/>
    <w:rsid w:val="35BE02E9"/>
    <w:rsid w:val="35D3417A"/>
    <w:rsid w:val="35F92898"/>
    <w:rsid w:val="360460F6"/>
    <w:rsid w:val="3697210C"/>
    <w:rsid w:val="36A234BC"/>
    <w:rsid w:val="36EA5AD0"/>
    <w:rsid w:val="37346328"/>
    <w:rsid w:val="37CE2BAA"/>
    <w:rsid w:val="37FF7C51"/>
    <w:rsid w:val="387815BB"/>
    <w:rsid w:val="387F1600"/>
    <w:rsid w:val="38964358"/>
    <w:rsid w:val="38AB6EE6"/>
    <w:rsid w:val="38BD7F91"/>
    <w:rsid w:val="39355082"/>
    <w:rsid w:val="3A0705B7"/>
    <w:rsid w:val="3A3F5D83"/>
    <w:rsid w:val="3A680772"/>
    <w:rsid w:val="3AB66812"/>
    <w:rsid w:val="3AF74A49"/>
    <w:rsid w:val="3AF77E18"/>
    <w:rsid w:val="3BC36E91"/>
    <w:rsid w:val="3BEF3832"/>
    <w:rsid w:val="3C374B2A"/>
    <w:rsid w:val="3C5E6F28"/>
    <w:rsid w:val="3C680251"/>
    <w:rsid w:val="3C764C61"/>
    <w:rsid w:val="3CF96F68"/>
    <w:rsid w:val="3D1F22C9"/>
    <w:rsid w:val="3D2B0AA0"/>
    <w:rsid w:val="3D352B08"/>
    <w:rsid w:val="3D3F711F"/>
    <w:rsid w:val="3D8D4717"/>
    <w:rsid w:val="3DEF7D43"/>
    <w:rsid w:val="3DF546DC"/>
    <w:rsid w:val="3E8949ED"/>
    <w:rsid w:val="3F000F2F"/>
    <w:rsid w:val="3F061647"/>
    <w:rsid w:val="3F0647D4"/>
    <w:rsid w:val="3FB8721E"/>
    <w:rsid w:val="3FE27ABC"/>
    <w:rsid w:val="40BB1E14"/>
    <w:rsid w:val="40BB5037"/>
    <w:rsid w:val="40C16803"/>
    <w:rsid w:val="40D50828"/>
    <w:rsid w:val="414F2A13"/>
    <w:rsid w:val="41710ED5"/>
    <w:rsid w:val="41761AD5"/>
    <w:rsid w:val="419D7E1E"/>
    <w:rsid w:val="41CB4D54"/>
    <w:rsid w:val="41FF5879"/>
    <w:rsid w:val="42300B25"/>
    <w:rsid w:val="424F52FA"/>
    <w:rsid w:val="427D1FA3"/>
    <w:rsid w:val="42DB11BC"/>
    <w:rsid w:val="42E84CC5"/>
    <w:rsid w:val="43066168"/>
    <w:rsid w:val="433E0DF6"/>
    <w:rsid w:val="43721248"/>
    <w:rsid w:val="43A35B11"/>
    <w:rsid w:val="43FD78A3"/>
    <w:rsid w:val="44105E6B"/>
    <w:rsid w:val="449207C5"/>
    <w:rsid w:val="44B1108C"/>
    <w:rsid w:val="450E1659"/>
    <w:rsid w:val="451B2EEF"/>
    <w:rsid w:val="4533012F"/>
    <w:rsid w:val="45690C96"/>
    <w:rsid w:val="4588121E"/>
    <w:rsid w:val="458C783E"/>
    <w:rsid w:val="46754A52"/>
    <w:rsid w:val="467E1E17"/>
    <w:rsid w:val="4682619F"/>
    <w:rsid w:val="46B67426"/>
    <w:rsid w:val="46D35A1D"/>
    <w:rsid w:val="47226158"/>
    <w:rsid w:val="47F85E0E"/>
    <w:rsid w:val="4862090E"/>
    <w:rsid w:val="486A0375"/>
    <w:rsid w:val="487714AC"/>
    <w:rsid w:val="487C1449"/>
    <w:rsid w:val="48802810"/>
    <w:rsid w:val="488200AD"/>
    <w:rsid w:val="488C509B"/>
    <w:rsid w:val="48F94422"/>
    <w:rsid w:val="48FB4489"/>
    <w:rsid w:val="492D7210"/>
    <w:rsid w:val="492F7558"/>
    <w:rsid w:val="494A0B7A"/>
    <w:rsid w:val="496448A2"/>
    <w:rsid w:val="499D0E58"/>
    <w:rsid w:val="49AA3D61"/>
    <w:rsid w:val="49BC6B8D"/>
    <w:rsid w:val="49E9562C"/>
    <w:rsid w:val="49F839D7"/>
    <w:rsid w:val="4A2F4075"/>
    <w:rsid w:val="4A3315F1"/>
    <w:rsid w:val="4A4F4D1C"/>
    <w:rsid w:val="4A676787"/>
    <w:rsid w:val="4A825978"/>
    <w:rsid w:val="4A875E4C"/>
    <w:rsid w:val="4A8A07F2"/>
    <w:rsid w:val="4AC86B2F"/>
    <w:rsid w:val="4ACE2CEF"/>
    <w:rsid w:val="4AEE264C"/>
    <w:rsid w:val="4AF4063E"/>
    <w:rsid w:val="4B0931F0"/>
    <w:rsid w:val="4BF530F5"/>
    <w:rsid w:val="4C1E7DBD"/>
    <w:rsid w:val="4C822EA5"/>
    <w:rsid w:val="4CD4646D"/>
    <w:rsid w:val="4D1F444A"/>
    <w:rsid w:val="4D435ACF"/>
    <w:rsid w:val="4DE35B8F"/>
    <w:rsid w:val="4E4C014B"/>
    <w:rsid w:val="4EC70824"/>
    <w:rsid w:val="4EDA3891"/>
    <w:rsid w:val="4EF2662B"/>
    <w:rsid w:val="4F02637A"/>
    <w:rsid w:val="4F166579"/>
    <w:rsid w:val="4F347559"/>
    <w:rsid w:val="4F7539A8"/>
    <w:rsid w:val="4F9756E5"/>
    <w:rsid w:val="4FDA1D17"/>
    <w:rsid w:val="50062529"/>
    <w:rsid w:val="500B0D3C"/>
    <w:rsid w:val="50125A1A"/>
    <w:rsid w:val="508D7F8A"/>
    <w:rsid w:val="50E20496"/>
    <w:rsid w:val="510A1D70"/>
    <w:rsid w:val="511259C0"/>
    <w:rsid w:val="511B6212"/>
    <w:rsid w:val="512D507D"/>
    <w:rsid w:val="516A2AAC"/>
    <w:rsid w:val="517D6B5A"/>
    <w:rsid w:val="518C4C3B"/>
    <w:rsid w:val="519A433C"/>
    <w:rsid w:val="51B16D62"/>
    <w:rsid w:val="51B80298"/>
    <w:rsid w:val="51BD45BA"/>
    <w:rsid w:val="51FF1544"/>
    <w:rsid w:val="52815F4D"/>
    <w:rsid w:val="52C4016E"/>
    <w:rsid w:val="53013926"/>
    <w:rsid w:val="53145B18"/>
    <w:rsid w:val="53421840"/>
    <w:rsid w:val="535F145B"/>
    <w:rsid w:val="53A33E6F"/>
    <w:rsid w:val="543E4B66"/>
    <w:rsid w:val="54494813"/>
    <w:rsid w:val="55297D09"/>
    <w:rsid w:val="552C5002"/>
    <w:rsid w:val="552F2777"/>
    <w:rsid w:val="55CA0289"/>
    <w:rsid w:val="560C00FD"/>
    <w:rsid w:val="56F9230F"/>
    <w:rsid w:val="570E7567"/>
    <w:rsid w:val="57253A09"/>
    <w:rsid w:val="579B1A5B"/>
    <w:rsid w:val="58A47030"/>
    <w:rsid w:val="58AB6972"/>
    <w:rsid w:val="58C13443"/>
    <w:rsid w:val="58E6337E"/>
    <w:rsid w:val="59174927"/>
    <w:rsid w:val="592C23FE"/>
    <w:rsid w:val="59862747"/>
    <w:rsid w:val="59A02544"/>
    <w:rsid w:val="59B10DA7"/>
    <w:rsid w:val="59C145B5"/>
    <w:rsid w:val="5A5E4F77"/>
    <w:rsid w:val="5A863A22"/>
    <w:rsid w:val="5AE36D11"/>
    <w:rsid w:val="5AE85DA6"/>
    <w:rsid w:val="5AF849D4"/>
    <w:rsid w:val="5B3E2E8D"/>
    <w:rsid w:val="5B595B23"/>
    <w:rsid w:val="5BA576D3"/>
    <w:rsid w:val="5BB104EE"/>
    <w:rsid w:val="5BC64DB4"/>
    <w:rsid w:val="5BC91AA6"/>
    <w:rsid w:val="5BD05D86"/>
    <w:rsid w:val="5C097ED6"/>
    <w:rsid w:val="5C171B65"/>
    <w:rsid w:val="5C2A4F69"/>
    <w:rsid w:val="5C447EA0"/>
    <w:rsid w:val="5C481D6E"/>
    <w:rsid w:val="5C7A7EB7"/>
    <w:rsid w:val="5C8463D6"/>
    <w:rsid w:val="5CA51595"/>
    <w:rsid w:val="5D29064C"/>
    <w:rsid w:val="5DA335A9"/>
    <w:rsid w:val="5DC37846"/>
    <w:rsid w:val="5E18767F"/>
    <w:rsid w:val="5E996125"/>
    <w:rsid w:val="5EAD4EB4"/>
    <w:rsid w:val="5F332B44"/>
    <w:rsid w:val="5F852108"/>
    <w:rsid w:val="5FE320BB"/>
    <w:rsid w:val="6039048C"/>
    <w:rsid w:val="60CA5474"/>
    <w:rsid w:val="61054568"/>
    <w:rsid w:val="6115737C"/>
    <w:rsid w:val="61237CA3"/>
    <w:rsid w:val="62172233"/>
    <w:rsid w:val="622F689A"/>
    <w:rsid w:val="623E62B1"/>
    <w:rsid w:val="62F272BF"/>
    <w:rsid w:val="632A195F"/>
    <w:rsid w:val="63420FC7"/>
    <w:rsid w:val="6397714E"/>
    <w:rsid w:val="63A33B74"/>
    <w:rsid w:val="63A743C5"/>
    <w:rsid w:val="63FA0E80"/>
    <w:rsid w:val="643055B7"/>
    <w:rsid w:val="64BC1FC8"/>
    <w:rsid w:val="64C20087"/>
    <w:rsid w:val="64E47E30"/>
    <w:rsid w:val="64E50833"/>
    <w:rsid w:val="65022D7A"/>
    <w:rsid w:val="650366FE"/>
    <w:rsid w:val="656C66AB"/>
    <w:rsid w:val="657355F0"/>
    <w:rsid w:val="65B45D84"/>
    <w:rsid w:val="65C3780B"/>
    <w:rsid w:val="65C93250"/>
    <w:rsid w:val="65CD4DE5"/>
    <w:rsid w:val="662E4376"/>
    <w:rsid w:val="669F4EC6"/>
    <w:rsid w:val="66A52350"/>
    <w:rsid w:val="66D341EE"/>
    <w:rsid w:val="66D714E6"/>
    <w:rsid w:val="66DB7F8D"/>
    <w:rsid w:val="66DD77E7"/>
    <w:rsid w:val="66E6167E"/>
    <w:rsid w:val="66F02759"/>
    <w:rsid w:val="670705AF"/>
    <w:rsid w:val="67092EBD"/>
    <w:rsid w:val="67367EC7"/>
    <w:rsid w:val="674C4E86"/>
    <w:rsid w:val="67513EC9"/>
    <w:rsid w:val="67AF6742"/>
    <w:rsid w:val="67EE5B7A"/>
    <w:rsid w:val="67FC2EB2"/>
    <w:rsid w:val="68BC49AA"/>
    <w:rsid w:val="68CD3A3C"/>
    <w:rsid w:val="68E71B88"/>
    <w:rsid w:val="68F10AAE"/>
    <w:rsid w:val="69463A06"/>
    <w:rsid w:val="698F0A22"/>
    <w:rsid w:val="69B85295"/>
    <w:rsid w:val="69B9634F"/>
    <w:rsid w:val="69BE4AC0"/>
    <w:rsid w:val="69D41C93"/>
    <w:rsid w:val="6A1A4737"/>
    <w:rsid w:val="6A7118A7"/>
    <w:rsid w:val="6A7C1E12"/>
    <w:rsid w:val="6B7D6A58"/>
    <w:rsid w:val="6B9F33B4"/>
    <w:rsid w:val="6B9F58BF"/>
    <w:rsid w:val="6BE5133E"/>
    <w:rsid w:val="6C3670AF"/>
    <w:rsid w:val="6C3F4A14"/>
    <w:rsid w:val="6C594E80"/>
    <w:rsid w:val="6CB70D88"/>
    <w:rsid w:val="6D065D4F"/>
    <w:rsid w:val="6D120536"/>
    <w:rsid w:val="6D252DA1"/>
    <w:rsid w:val="6D5764A4"/>
    <w:rsid w:val="6D6B18A0"/>
    <w:rsid w:val="6D75441D"/>
    <w:rsid w:val="6DBD7465"/>
    <w:rsid w:val="6DF60B1A"/>
    <w:rsid w:val="6E3A5E02"/>
    <w:rsid w:val="6ED20F6A"/>
    <w:rsid w:val="6EE9283E"/>
    <w:rsid w:val="6F5B26F8"/>
    <w:rsid w:val="6F617AB1"/>
    <w:rsid w:val="6FB57956"/>
    <w:rsid w:val="705231D6"/>
    <w:rsid w:val="70785EEC"/>
    <w:rsid w:val="707E664C"/>
    <w:rsid w:val="7084772C"/>
    <w:rsid w:val="70877D5A"/>
    <w:rsid w:val="70913C66"/>
    <w:rsid w:val="70963858"/>
    <w:rsid w:val="71505E23"/>
    <w:rsid w:val="718E139A"/>
    <w:rsid w:val="71DD29D4"/>
    <w:rsid w:val="71E73360"/>
    <w:rsid w:val="71F053CE"/>
    <w:rsid w:val="72414AC5"/>
    <w:rsid w:val="725E0B17"/>
    <w:rsid w:val="7265000D"/>
    <w:rsid w:val="731F612F"/>
    <w:rsid w:val="73803327"/>
    <w:rsid w:val="739B726F"/>
    <w:rsid w:val="73A13EB3"/>
    <w:rsid w:val="73C149D2"/>
    <w:rsid w:val="740B174C"/>
    <w:rsid w:val="740D4A2E"/>
    <w:rsid w:val="742C400D"/>
    <w:rsid w:val="743F13CA"/>
    <w:rsid w:val="7456548B"/>
    <w:rsid w:val="747E27EB"/>
    <w:rsid w:val="749257DC"/>
    <w:rsid w:val="74B225AD"/>
    <w:rsid w:val="74CF32B5"/>
    <w:rsid w:val="7585214A"/>
    <w:rsid w:val="75B72D21"/>
    <w:rsid w:val="75FE7B27"/>
    <w:rsid w:val="75FF2942"/>
    <w:rsid w:val="76011520"/>
    <w:rsid w:val="76830F7D"/>
    <w:rsid w:val="769F09E8"/>
    <w:rsid w:val="76B21A9D"/>
    <w:rsid w:val="76EE62DE"/>
    <w:rsid w:val="77426DB5"/>
    <w:rsid w:val="77AE4D20"/>
    <w:rsid w:val="78055E84"/>
    <w:rsid w:val="780F516C"/>
    <w:rsid w:val="78342943"/>
    <w:rsid w:val="785A47B1"/>
    <w:rsid w:val="78AF27A0"/>
    <w:rsid w:val="78D57FA7"/>
    <w:rsid w:val="78F15722"/>
    <w:rsid w:val="78F205CE"/>
    <w:rsid w:val="79261483"/>
    <w:rsid w:val="79515D93"/>
    <w:rsid w:val="797D71AA"/>
    <w:rsid w:val="79C412AC"/>
    <w:rsid w:val="79C856C3"/>
    <w:rsid w:val="79CC3ACF"/>
    <w:rsid w:val="79E83C90"/>
    <w:rsid w:val="7A2659BA"/>
    <w:rsid w:val="7A824062"/>
    <w:rsid w:val="7AF50CC8"/>
    <w:rsid w:val="7C227DE1"/>
    <w:rsid w:val="7CB96622"/>
    <w:rsid w:val="7D032DFE"/>
    <w:rsid w:val="7D683F84"/>
    <w:rsid w:val="7D6A7965"/>
    <w:rsid w:val="7D71762A"/>
    <w:rsid w:val="7DAC5F7E"/>
    <w:rsid w:val="7DF8002F"/>
    <w:rsid w:val="7E395B00"/>
    <w:rsid w:val="7E4067B9"/>
    <w:rsid w:val="7E6B1562"/>
    <w:rsid w:val="7E87220C"/>
    <w:rsid w:val="7EAD03FF"/>
    <w:rsid w:val="7EDD05C1"/>
    <w:rsid w:val="7F222DAA"/>
    <w:rsid w:val="7FE3187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0" w:firstLineChars="0"/>
      <w:jc w:val="both"/>
    </w:pPr>
    <w:rPr>
      <w:rFonts w:ascii="Times New Roman" w:hAnsi="Times New Roman" w:eastAsia="宋体" w:cs="Times New Roman"/>
      <w:sz w:val="24"/>
      <w:szCs w:val="22"/>
      <w:lang w:val="en-US" w:eastAsia="zh-CN" w:bidi="ar-SA"/>
    </w:rPr>
  </w:style>
  <w:style w:type="paragraph" w:styleId="5">
    <w:name w:val="heading 1"/>
    <w:basedOn w:val="1"/>
    <w:next w:val="1"/>
    <w:qFormat/>
    <w:uiPriority w:val="9"/>
    <w:pPr>
      <w:keepNext/>
      <w:keepLines/>
      <w:spacing w:before="120" w:beforeLines="0" w:beforeAutospacing="0" w:after="120" w:afterLines="0" w:afterAutospacing="0" w:line="240" w:lineRule="auto"/>
      <w:ind w:firstLine="0" w:firstLineChars="0"/>
      <w:jc w:val="left"/>
      <w:outlineLvl w:val="0"/>
    </w:pPr>
    <w:rPr>
      <w:rFonts w:ascii="Times New Roman" w:hAnsi="Times New Roman"/>
      <w:b/>
      <w:kern w:val="44"/>
    </w:rPr>
  </w:style>
  <w:style w:type="paragraph" w:styleId="6">
    <w:name w:val="heading 2"/>
    <w:basedOn w:val="1"/>
    <w:next w:val="1"/>
    <w:unhideWhenUsed/>
    <w:qFormat/>
    <w:uiPriority w:val="9"/>
    <w:pPr>
      <w:keepNext/>
      <w:keepLines/>
      <w:spacing w:before="50" w:beforeLines="50" w:beforeAutospacing="0" w:after="50" w:afterLines="50" w:afterAutospacing="0" w:line="360" w:lineRule="auto"/>
      <w:ind w:firstLine="0" w:firstLineChars="0"/>
      <w:jc w:val="left"/>
      <w:outlineLvl w:val="1"/>
    </w:pPr>
    <w:rPr>
      <w:rFonts w:ascii="Arial" w:hAnsi="Arial"/>
      <w:b/>
      <w:sz w:val="24"/>
    </w:rPr>
  </w:style>
  <w:style w:type="paragraph" w:styleId="7">
    <w:name w:val="heading 3"/>
    <w:basedOn w:val="1"/>
    <w:next w:val="1"/>
    <w:link w:val="27"/>
    <w:unhideWhenUsed/>
    <w:qFormat/>
    <w:uiPriority w:val="9"/>
    <w:pPr>
      <w:keepNext/>
      <w:keepLines/>
      <w:spacing w:before="50" w:beforeLines="50" w:beforeAutospacing="0" w:after="50" w:afterLines="50" w:afterAutospacing="0" w:line="360" w:lineRule="auto"/>
      <w:ind w:firstLine="0" w:firstLineChars="0"/>
      <w:outlineLvl w:val="2"/>
    </w:pPr>
    <w:rPr>
      <w:rFonts w:ascii="Times New Roman" w:hAnsi="Times New Roman"/>
      <w:b/>
      <w:sz w:val="24"/>
    </w:rPr>
  </w:style>
  <w:style w:type="paragraph" w:styleId="4">
    <w:name w:val="heading 4"/>
    <w:basedOn w:val="1"/>
    <w:next w:val="1"/>
    <w:unhideWhenUsed/>
    <w:qFormat/>
    <w:uiPriority w:val="0"/>
    <w:pPr>
      <w:keepNext/>
      <w:keepLines/>
      <w:spacing w:beforeLines="0" w:beforeAutospacing="0" w:afterLines="0" w:afterAutospacing="0" w:line="360" w:lineRule="auto"/>
      <w:ind w:firstLine="0" w:firstLineChars="0"/>
      <w:jc w:val="center"/>
      <w:outlineLvl w:val="3"/>
    </w:pPr>
    <w:rPr>
      <w:rFonts w:ascii="Arial" w:hAnsi="Arial"/>
      <w:sz w:val="21"/>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First Indent 2"/>
    <w:basedOn w:val="3"/>
    <w:next w:val="1"/>
    <w:link w:val="34"/>
    <w:unhideWhenUsed/>
    <w:qFormat/>
    <w:uiPriority w:val="99"/>
    <w:pPr>
      <w:ind w:firstLine="420" w:firstLineChars="200"/>
    </w:pPr>
  </w:style>
  <w:style w:type="paragraph" w:styleId="3">
    <w:name w:val="Body Text Indent"/>
    <w:basedOn w:val="1"/>
    <w:next w:val="4"/>
    <w:unhideWhenUsed/>
    <w:qFormat/>
    <w:uiPriority w:val="99"/>
    <w:pPr>
      <w:spacing w:after="120" w:afterLines="0" w:afterAutospacing="0"/>
      <w:ind w:left="420" w:leftChars="200"/>
    </w:pPr>
  </w:style>
  <w:style w:type="paragraph" w:styleId="8">
    <w:name w:val="Normal Indent"/>
    <w:basedOn w:val="1"/>
    <w:next w:val="1"/>
    <w:link w:val="28"/>
    <w:unhideWhenUsed/>
    <w:qFormat/>
    <w:uiPriority w:val="99"/>
    <w:pPr>
      <w:ind w:firstLine="420" w:firstLineChars="200"/>
    </w:pPr>
  </w:style>
  <w:style w:type="paragraph" w:styleId="9">
    <w:name w:val="caption"/>
    <w:basedOn w:val="1"/>
    <w:next w:val="1"/>
    <w:unhideWhenUsed/>
    <w:qFormat/>
    <w:uiPriority w:val="35"/>
    <w:rPr>
      <w:rFonts w:ascii="Arial" w:hAnsi="Arial" w:eastAsia="黑体"/>
      <w:sz w:val="20"/>
    </w:rPr>
  </w:style>
  <w:style w:type="paragraph" w:styleId="10">
    <w:name w:val="annotation text"/>
    <w:basedOn w:val="1"/>
    <w:unhideWhenUsed/>
    <w:qFormat/>
    <w:uiPriority w:val="99"/>
    <w:pPr>
      <w:jc w:val="left"/>
    </w:pPr>
  </w:style>
  <w:style w:type="paragraph" w:styleId="11">
    <w:name w:val="Body Text"/>
    <w:basedOn w:val="1"/>
    <w:link w:val="29"/>
    <w:unhideWhenUsed/>
    <w:qFormat/>
    <w:uiPriority w:val="99"/>
    <w:pPr>
      <w:spacing w:line="360" w:lineRule="auto"/>
    </w:pPr>
    <w:rPr>
      <w:rFonts w:ascii="宋体"/>
      <w:sz w:val="28"/>
    </w:rPr>
  </w:style>
  <w:style w:type="paragraph" w:styleId="12">
    <w:name w:val="toc 3"/>
    <w:basedOn w:val="1"/>
    <w:next w:val="1"/>
    <w:unhideWhenUsed/>
    <w:qFormat/>
    <w:uiPriority w:val="39"/>
    <w:pPr>
      <w:ind w:left="840" w:leftChars="400"/>
    </w:pPr>
  </w:style>
  <w:style w:type="paragraph" w:styleId="13">
    <w:name w:val="Plain Text"/>
    <w:basedOn w:val="1"/>
    <w:qFormat/>
    <w:uiPriority w:val="0"/>
    <w:pPr>
      <w:spacing w:line="360" w:lineRule="auto"/>
    </w:pPr>
    <w:rPr>
      <w:rFonts w:ascii="宋体" w:hAnsi="宋体"/>
      <w:color w:val="000000"/>
      <w:spacing w:val="8"/>
      <w:sz w:val="24"/>
      <w:szCs w:val="20"/>
    </w:rPr>
  </w:style>
  <w:style w:type="paragraph" w:styleId="14">
    <w:name w:val="Balloon Text"/>
    <w:basedOn w:val="1"/>
    <w:link w:val="30"/>
    <w:unhideWhenUsed/>
    <w:qFormat/>
    <w:uiPriority w:val="99"/>
    <w:pPr>
      <w:spacing w:after="0"/>
    </w:pPr>
    <w:rPr>
      <w:sz w:val="18"/>
      <w:szCs w:val="18"/>
    </w:rPr>
  </w:style>
  <w:style w:type="paragraph" w:styleId="15">
    <w:name w:val="footer"/>
    <w:basedOn w:val="1"/>
    <w:link w:val="31"/>
    <w:unhideWhenUsed/>
    <w:qFormat/>
    <w:uiPriority w:val="99"/>
    <w:pPr>
      <w:tabs>
        <w:tab w:val="center" w:pos="4153"/>
        <w:tab w:val="right" w:pos="8306"/>
      </w:tabs>
      <w:snapToGrid w:val="0"/>
      <w:jc w:val="left"/>
    </w:pPr>
    <w:rPr>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Subtitle"/>
    <w:basedOn w:val="1"/>
    <w:next w:val="1"/>
    <w:link w:val="33"/>
    <w:qFormat/>
    <w:uiPriority w:val="11"/>
    <w:pPr>
      <w:spacing w:after="560"/>
      <w:jc w:val="center"/>
    </w:pPr>
    <w:rPr>
      <w:caps/>
      <w:spacing w:val="20"/>
      <w:sz w:val="18"/>
      <w:szCs w:val="18"/>
    </w:rPr>
  </w:style>
  <w:style w:type="paragraph" w:styleId="19">
    <w:name w:val="List"/>
    <w:basedOn w:val="1"/>
    <w:unhideWhenUsed/>
    <w:qFormat/>
    <w:uiPriority w:val="99"/>
    <w:pPr>
      <w:ind w:left="200" w:hanging="200" w:hangingChars="200"/>
      <w:contextualSpacing/>
    </w:pPr>
  </w:style>
  <w:style w:type="paragraph" w:styleId="20">
    <w:name w:val="toc 2"/>
    <w:basedOn w:val="1"/>
    <w:next w:val="1"/>
    <w:unhideWhenUsed/>
    <w:qFormat/>
    <w:uiPriority w:val="39"/>
    <w:pPr>
      <w:ind w:left="420" w:left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9"/>
    <w:qFormat/>
    <w:uiPriority w:val="10"/>
    <w:pPr>
      <w:spacing w:before="120" w:after="60" w:line="240" w:lineRule="auto"/>
      <w:ind w:firstLine="0" w:firstLineChars="0"/>
      <w:jc w:val="center"/>
    </w:pPr>
    <w:rPr>
      <w:rFonts w:cs="Times New Roman"/>
      <w:b/>
      <w:bCs/>
      <w:sz w:val="21"/>
      <w:szCs w:val="32"/>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nhideWhenUsed/>
    <w:qFormat/>
    <w:uiPriority w:val="99"/>
  </w:style>
  <w:style w:type="character" w:customStyle="1" w:styleId="27">
    <w:name w:val="标题 3 Char"/>
    <w:link w:val="7"/>
    <w:qFormat/>
    <w:uiPriority w:val="9"/>
    <w:rPr>
      <w:rFonts w:ascii="Times New Roman" w:hAnsi="Times New Roman" w:eastAsia="宋体"/>
      <w:b/>
      <w:sz w:val="24"/>
    </w:rPr>
  </w:style>
  <w:style w:type="character" w:customStyle="1" w:styleId="28">
    <w:name w:val="正文缩进 Char"/>
    <w:link w:val="8"/>
    <w:qFormat/>
    <w:uiPriority w:val="0"/>
  </w:style>
  <w:style w:type="character" w:customStyle="1" w:styleId="29">
    <w:name w:val="正文文本 Char"/>
    <w:link w:val="11"/>
    <w:qFormat/>
    <w:uiPriority w:val="99"/>
    <w:rPr>
      <w:rFonts w:ascii="宋体"/>
      <w:sz w:val="28"/>
    </w:rPr>
  </w:style>
  <w:style w:type="character" w:customStyle="1" w:styleId="30">
    <w:name w:val="批注框文本 Char"/>
    <w:basedOn w:val="25"/>
    <w:link w:val="14"/>
    <w:semiHidden/>
    <w:qFormat/>
    <w:uiPriority w:val="99"/>
    <w:rPr>
      <w:rFonts w:ascii="Times New Roman" w:hAnsi="Times New Roman" w:eastAsia="宋体" w:cs="Times New Roman"/>
      <w:kern w:val="0"/>
      <w:sz w:val="18"/>
      <w:szCs w:val="18"/>
    </w:rPr>
  </w:style>
  <w:style w:type="character" w:customStyle="1" w:styleId="31">
    <w:name w:val="页脚 Char"/>
    <w:basedOn w:val="25"/>
    <w:link w:val="15"/>
    <w:semiHidden/>
    <w:qFormat/>
    <w:uiPriority w:val="99"/>
    <w:rPr>
      <w:sz w:val="18"/>
      <w:szCs w:val="18"/>
    </w:rPr>
  </w:style>
  <w:style w:type="character" w:customStyle="1" w:styleId="32">
    <w:name w:val="页眉 Char"/>
    <w:basedOn w:val="25"/>
    <w:link w:val="16"/>
    <w:qFormat/>
    <w:uiPriority w:val="99"/>
    <w:rPr>
      <w:sz w:val="18"/>
      <w:szCs w:val="18"/>
    </w:rPr>
  </w:style>
  <w:style w:type="character" w:customStyle="1" w:styleId="33">
    <w:name w:val="副标题 Char"/>
    <w:link w:val="18"/>
    <w:qFormat/>
    <w:uiPriority w:val="11"/>
    <w:rPr>
      <w:caps/>
      <w:spacing w:val="20"/>
      <w:sz w:val="18"/>
      <w:szCs w:val="18"/>
    </w:rPr>
  </w:style>
  <w:style w:type="character" w:customStyle="1" w:styleId="34">
    <w:name w:val="正文首行缩进 2 Char"/>
    <w:link w:val="2"/>
    <w:qFormat/>
    <w:uiPriority w:val="0"/>
  </w:style>
  <w:style w:type="character" w:customStyle="1" w:styleId="35">
    <w:name w:val="Character Style 2"/>
    <w:qFormat/>
    <w:uiPriority w:val="99"/>
    <w:rPr>
      <w:sz w:val="23"/>
      <w:szCs w:val="23"/>
    </w:rPr>
  </w:style>
  <w:style w:type="paragraph" w:customStyle="1" w:styleId="36">
    <w:name w:val="WPSOffice手动目录 2"/>
    <w:qFormat/>
    <w:uiPriority w:val="0"/>
    <w:pPr>
      <w:ind w:leftChars="200"/>
    </w:pPr>
    <w:rPr>
      <w:rFonts w:ascii="Times New Roman" w:hAnsi="Times New Roman" w:eastAsia="宋体" w:cs="Times New Roman"/>
      <w:sz w:val="20"/>
      <w:szCs w:val="20"/>
    </w:rPr>
  </w:style>
  <w:style w:type="paragraph" w:customStyle="1" w:styleId="37">
    <w:name w:val="首行缩进"/>
    <w:basedOn w:val="1"/>
    <w:qFormat/>
    <w:uiPriority w:val="0"/>
    <w:pPr>
      <w:ind w:firstLine="480" w:firstLineChars="200"/>
    </w:p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正文 + 宋体"/>
    <w:basedOn w:val="1"/>
    <w:qFormat/>
    <w:uiPriority w:val="0"/>
    <w:pPr>
      <w:spacing w:line="240" w:lineRule="auto"/>
      <w:ind w:firstLine="480" w:firstLineChars="200"/>
    </w:pPr>
    <w:rPr>
      <w:kern w:val="2"/>
      <w:sz w:val="21"/>
    </w:rPr>
  </w:style>
  <w:style w:type="paragraph" w:customStyle="1" w:styleId="40">
    <w:name w:val="Body text|1"/>
    <w:basedOn w:val="1"/>
    <w:qFormat/>
    <w:uiPriority w:val="0"/>
    <w:pPr>
      <w:widowControl w:val="0"/>
      <w:shd w:val="clear" w:color="auto" w:fill="auto"/>
      <w:spacing w:line="401" w:lineRule="auto"/>
      <w:ind w:firstLine="400"/>
    </w:pPr>
    <w:rPr>
      <w:rFonts w:ascii="MingLiU" w:hAnsi="MingLiU" w:eastAsia="MingLiU" w:cs="MingLiU"/>
      <w:u w:val="none"/>
      <w:shd w:val="clear" w:color="auto" w:fill="auto"/>
      <w:lang w:val="zh-TW" w:eastAsia="zh-TW" w:bidi="zh-TW"/>
    </w:rPr>
  </w:style>
  <w:style w:type="paragraph" w:customStyle="1" w:styleId="41">
    <w:name w:val="表格"/>
    <w:basedOn w:val="1"/>
    <w:qFormat/>
    <w:uiPriority w:val="0"/>
    <w:pPr>
      <w:widowControl w:val="0"/>
      <w:spacing w:after="0" w:line="400" w:lineRule="exact"/>
      <w:jc w:val="center"/>
    </w:pPr>
    <w:rPr>
      <w:kern w:val="2"/>
      <w:sz w:val="24"/>
      <w:szCs w:val="20"/>
    </w:rPr>
  </w:style>
  <w:style w:type="paragraph" w:customStyle="1" w:styleId="42">
    <w:name w:val="Style 1"/>
    <w:basedOn w:val="1"/>
    <w:qFormat/>
    <w:uiPriority w:val="99"/>
    <w:pPr>
      <w:widowControl w:val="0"/>
      <w:autoSpaceDE w:val="0"/>
      <w:autoSpaceDN w:val="0"/>
      <w:adjustRightInd w:val="0"/>
      <w:spacing w:after="0"/>
    </w:pPr>
    <w:rPr>
      <w:rFonts w:eastAsia="宋体"/>
      <w:sz w:val="20"/>
      <w:szCs w:val="20"/>
    </w:rPr>
  </w:style>
  <w:style w:type="paragraph" w:customStyle="1" w:styleId="43">
    <w:name w:val="封面标准文稿编辑信息"/>
    <w:qFormat/>
    <w:uiPriority w:val="0"/>
    <w:pPr>
      <w:spacing w:before="180" w:line="180" w:lineRule="exact"/>
      <w:jc w:val="center"/>
    </w:pPr>
    <w:rPr>
      <w:rFonts w:ascii="宋体" w:hAnsi="Times New Roman" w:eastAsia="宋体" w:cs="Times New Roman"/>
      <w:sz w:val="21"/>
      <w:szCs w:val="22"/>
      <w:lang w:val="en-US" w:eastAsia="zh-CN" w:bidi="ar-SA"/>
    </w:rPr>
  </w:style>
  <w:style w:type="paragraph" w:styleId="44">
    <w:name w:val="No Spacing"/>
    <w:basedOn w:val="19"/>
    <w:next w:val="1"/>
    <w:qFormat/>
    <w:uiPriority w:val="1"/>
    <w:pPr>
      <w:spacing w:line="240" w:lineRule="auto"/>
      <w:ind w:left="0" w:firstLine="0" w:firstLineChars="0"/>
      <w:jc w:val="center"/>
      <w:textAlignment w:val="center"/>
    </w:pPr>
    <w:rPr>
      <w:sz w:val="21"/>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3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Header or footer|1"/>
    <w:basedOn w:val="1"/>
    <w:qFormat/>
    <w:uiPriority w:val="0"/>
    <w:pPr>
      <w:widowControl w:val="0"/>
      <w:shd w:val="clear" w:color="auto" w:fill="auto"/>
    </w:pPr>
    <w:rPr>
      <w:rFonts w:ascii="MingLiU" w:hAnsi="MingLiU" w:eastAsia="MingLiU" w:cs="MingLiU"/>
      <w:b/>
      <w:bCs/>
      <w:u w:val="none"/>
      <w:shd w:val="clear" w:color="auto" w:fill="auto"/>
      <w:lang w:val="zh-TW" w:eastAsia="zh-TW" w:bidi="zh-TW"/>
    </w:rPr>
  </w:style>
  <w:style w:type="paragraph" w:customStyle="1" w:styleId="48">
    <w:name w:val="图表文字"/>
    <w:basedOn w:val="1"/>
    <w:qFormat/>
    <w:uiPriority w:val="0"/>
    <w:pPr>
      <w:spacing w:line="300" w:lineRule="exact"/>
      <w:jc w:val="center"/>
    </w:pPr>
    <w:rPr>
      <w:bCs/>
    </w:rPr>
  </w:style>
  <w:style w:type="paragraph" w:customStyle="1" w:styleId="49">
    <w:name w:val="li_正文"/>
    <w:basedOn w:val="1"/>
    <w:qFormat/>
    <w:uiPriority w:val="0"/>
    <w:pPr>
      <w:ind w:firstLine="200" w:firstLineChars="200"/>
      <w:jc w:val="left"/>
    </w:pPr>
    <w:rPr>
      <w:sz w:val="28"/>
      <w:szCs w:val="28"/>
    </w:rPr>
  </w:style>
  <w:style w:type="paragraph" w:customStyle="1" w:styleId="50">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paragraph" w:customStyle="1" w:styleId="51">
    <w:name w:val="报告表正文"/>
    <w:basedOn w:val="52"/>
    <w:qFormat/>
    <w:uiPriority w:val="0"/>
    <w:pPr>
      <w:adjustRightInd w:val="0"/>
      <w:ind w:firstLine="482"/>
      <w:textAlignment w:val="baseline"/>
    </w:pPr>
  </w:style>
  <w:style w:type="paragraph" w:customStyle="1" w:styleId="52">
    <w:name w:val="报告正文"/>
    <w:basedOn w:val="53"/>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53">
    <w:name w:val="p17"/>
    <w:basedOn w:val="1"/>
    <w:qFormat/>
    <w:uiPriority w:val="0"/>
    <w:pPr>
      <w:widowControl/>
    </w:pPr>
    <w:rPr>
      <w:rFonts w:ascii="宋体" w:hAnsi="宋体" w:cs="宋体"/>
      <w:kern w:val="0"/>
      <w:szCs w:val="21"/>
    </w:rPr>
  </w:style>
  <w:style w:type="paragraph" w:customStyle="1" w:styleId="54">
    <w:name w:val="列出段落1"/>
    <w:basedOn w:val="1"/>
    <w:qFormat/>
    <w:uiPriority w:val="0"/>
    <w:pPr>
      <w:jc w:val="center"/>
    </w:pPr>
    <w:rPr>
      <w:szCs w:val="20"/>
    </w:rPr>
  </w:style>
  <w:style w:type="paragraph" w:customStyle="1" w:styleId="55">
    <w:name w:val="aa Char"/>
    <w:basedOn w:val="8"/>
    <w:qFormat/>
    <w:uiPriority w:val="0"/>
    <w:pPr>
      <w:spacing w:line="520" w:lineRule="exact"/>
      <w:ind w:firstLine="561" w:firstLineChars="0"/>
    </w:pPr>
    <w:rPr>
      <w:sz w:val="28"/>
    </w:rPr>
  </w:style>
  <w:style w:type="paragraph" w:customStyle="1" w:styleId="56">
    <w:name w:val="无间隔1"/>
    <w:basedOn w:val="1"/>
    <w:next w:val="1"/>
    <w:qFormat/>
    <w:uiPriority w:val="0"/>
    <w:pPr>
      <w:jc w:val="center"/>
    </w:pPr>
  </w:style>
  <w:style w:type="paragraph" w:customStyle="1" w:styleId="57">
    <w:name w:val="Table Paragraph"/>
    <w:basedOn w:val="1"/>
    <w:qFormat/>
    <w:uiPriority w:val="0"/>
    <w:pPr>
      <w:keepNext w:val="0"/>
      <w:keepLines w:val="0"/>
      <w:widowControl w:val="0"/>
      <w:suppressLineNumbers w:val="0"/>
      <w:spacing w:before="0" w:beforeAutospacing="1"/>
      <w:jc w:val="left"/>
    </w:pPr>
    <w:rPr>
      <w:rFonts w:hint="default" w:ascii="Calibri" w:hAnsi="Calibri" w:eastAsia="宋体" w:cs="Times New Roman"/>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TkzMDY3MDIxMjIiLAogICAiR3JvdXBJZCIgOiAiMTY0MjAyNDk2IiwKICAgIkltYWdlIiA6ICJpVkJPUncwS0dnb0FBQUFOU1VoRVVnQUFBbndBQUFHV0NBWUFBQURpMmw0dkFBQUFDWEJJV1hNQUFBc1RBQUFMRXdFQW1wd1lBQUFnQUVsRVFWUjRuT3pkZVh3VjFmMy84ZmZjbXoyQkVJZ0pKQ1pDZ0JKSW91WUdMTGdnNG9xbThpdTQ0RWJGcXExTDY5S3ExVytyRmEwYldyNmlva1d4N3VLQ2xvb2lGdm1DUzVVbENRb0JoR2dDZ29ZOUlYdHk3ejIvUDhpTlNVaklubnR6ODNvK0hqeTRjK2JNek9kT3ptUStPVE56Um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58</Pages>
  <Words>19467</Words>
  <Characters>23046</Characters>
  <Lines>99</Lines>
  <Paragraphs>28</Paragraphs>
  <TotalTime>0</TotalTime>
  <ScaleCrop>false</ScaleCrop>
  <LinksUpToDate>false</LinksUpToDate>
  <CharactersWithSpaces>23713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2017-11-20T03:35:00Z</dcterms:created>
  <dc:creator>Administrator</dc:creator>
  <cp:lastModifiedBy>L</cp:lastModifiedBy>
  <cp:lastPrinted>2021-12-30T05:03:00Z</cp:lastPrinted>
  <dcterms:modified xsi:type="dcterms:W3CDTF">2022-05-30T05:46:32Z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7188A387BD14417ABBA22F76323E4618</vt:lpwstr>
  </property>
  <property fmtid="{D5CDD505-2E9C-101B-9397-08002B2CF9AE}" pid="4" name="commondata">
    <vt:lpwstr>eyJoZGlkIjoiZTNiMmJjMGUyMDNhMGI0MjllZTc4OTE3ODRjOTBjMWQifQ==</vt:lpwstr>
  </property>
</Properties>
</file>