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center"/>
        <w:textAlignment w:val="center"/>
        <w:rPr>
          <w:rFonts w:cs="Times New Roman"/>
          <w:kern w:val="0"/>
          <w:sz w:val="28"/>
        </w:rPr>
      </w:pPr>
    </w:p>
    <w:p>
      <w:pPr>
        <w:widowControl/>
        <w:adjustRightInd w:val="0"/>
        <w:snapToGrid w:val="0"/>
        <w:spacing w:after="200"/>
        <w:ind w:firstLine="560"/>
        <w:jc w:val="center"/>
        <w:textAlignment w:val="center"/>
        <w:rPr>
          <w:rFonts w:cs="Times New Roman"/>
          <w:kern w:val="0"/>
          <w:sz w:val="28"/>
        </w:rPr>
      </w:pPr>
    </w:p>
    <w:p>
      <w:pPr>
        <w:widowControl/>
        <w:adjustRightInd w:val="0"/>
        <w:snapToGrid w:val="0"/>
        <w:spacing w:after="200"/>
        <w:ind w:firstLine="560"/>
        <w:jc w:val="center"/>
        <w:textAlignment w:val="center"/>
        <w:rPr>
          <w:rFonts w:cs="Times New Roman"/>
          <w:kern w:val="0"/>
          <w:sz w:val="28"/>
        </w:rPr>
      </w:pPr>
    </w:p>
    <w:p>
      <w:pPr>
        <w:widowControl/>
        <w:adjustRightInd w:val="0"/>
        <w:snapToGrid w:val="0"/>
        <w:ind w:firstLine="0" w:firstLineChars="0"/>
        <w:jc w:val="center"/>
        <w:textAlignment w:val="center"/>
        <w:rPr>
          <w:rFonts w:hint="eastAsia" w:ascii="黑体" w:hAnsi="黑体" w:eastAsia="黑体" w:cs="黑体"/>
          <w:b/>
          <w:bCs/>
          <w:kern w:val="0"/>
          <w:sz w:val="52"/>
          <w:szCs w:val="52"/>
          <w:lang w:eastAsia="zh-CN"/>
        </w:rPr>
      </w:pPr>
      <w:r>
        <w:rPr>
          <w:rFonts w:hint="eastAsia" w:ascii="黑体" w:hAnsi="黑体" w:eastAsia="黑体" w:cs="黑体"/>
          <w:b/>
          <w:bCs/>
          <w:kern w:val="0"/>
          <w:sz w:val="52"/>
          <w:szCs w:val="52"/>
          <w:lang w:eastAsia="zh-CN"/>
        </w:rPr>
        <w:t>新疆中泰兴苇生物科技有限公司日产125吨生活用纸产品升级改造项目</w:t>
      </w:r>
    </w:p>
    <w:p>
      <w:pPr>
        <w:widowControl/>
        <w:adjustRightInd w:val="0"/>
        <w:snapToGrid w:val="0"/>
        <w:ind w:firstLine="0" w:firstLineChars="0"/>
        <w:jc w:val="center"/>
        <w:textAlignment w:val="center"/>
        <w:rPr>
          <w:rFonts w:hint="eastAsia" w:ascii="黑体" w:hAnsi="黑体" w:eastAsia="黑体" w:cs="黑体"/>
          <w:b/>
          <w:bCs/>
          <w:kern w:val="0"/>
          <w:sz w:val="52"/>
          <w:szCs w:val="52"/>
          <w:lang w:val="en-US" w:eastAsia="zh-CN"/>
        </w:rPr>
      </w:pPr>
      <w:r>
        <w:rPr>
          <w:rFonts w:hint="eastAsia" w:ascii="黑体" w:hAnsi="黑体" w:eastAsia="黑体" w:cs="黑体"/>
          <w:b/>
          <w:bCs/>
          <w:kern w:val="0"/>
          <w:sz w:val="52"/>
          <w:szCs w:val="52"/>
          <w:lang w:val="en-US" w:eastAsia="zh-CN"/>
        </w:rPr>
        <w:t>竣工环境验收报告书</w:t>
      </w:r>
    </w:p>
    <w:p>
      <w:pPr>
        <w:widowControl/>
        <w:adjustRightInd w:val="0"/>
        <w:snapToGrid w:val="0"/>
        <w:ind w:firstLine="0" w:firstLineChars="0"/>
        <w:jc w:val="center"/>
        <w:textAlignment w:val="center"/>
        <w:rPr>
          <w:rFonts w:hint="eastAsia" w:ascii="黑体" w:hAnsi="黑体" w:eastAsia="黑体" w:cs="黑体"/>
          <w:b/>
          <w:bCs/>
          <w:kern w:val="0"/>
          <w:sz w:val="52"/>
          <w:szCs w:val="52"/>
          <w:lang w:val="en-US" w:eastAsia="zh-CN"/>
        </w:rPr>
      </w:pPr>
      <w:r>
        <w:rPr>
          <w:rFonts w:hint="eastAsia" w:ascii="黑体" w:hAnsi="黑体" w:eastAsia="黑体" w:cs="黑体"/>
          <w:b/>
          <w:bCs/>
          <w:kern w:val="0"/>
          <w:sz w:val="52"/>
          <w:szCs w:val="52"/>
          <w:lang w:val="en-US" w:eastAsia="zh-CN"/>
        </w:rPr>
        <w:t>（公示版）</w:t>
      </w:r>
    </w:p>
    <w:p>
      <w:pPr>
        <w:widowControl/>
        <w:adjustRightInd w:val="0"/>
        <w:snapToGrid w:val="0"/>
        <w:ind w:firstLine="0" w:firstLineChars="0"/>
        <w:jc w:val="center"/>
        <w:textAlignment w:val="center"/>
        <w:rPr>
          <w:rFonts w:cs="Times New Roman"/>
          <w:kern w:val="0"/>
          <w:sz w:val="48"/>
          <w:szCs w:val="48"/>
        </w:rPr>
      </w:pPr>
    </w:p>
    <w:p>
      <w:pPr>
        <w:widowControl/>
        <w:adjustRightInd w:val="0"/>
        <w:snapToGrid w:val="0"/>
        <w:spacing w:after="200"/>
        <w:ind w:firstLine="560"/>
        <w:jc w:val="center"/>
        <w:textAlignment w:val="center"/>
        <w:rPr>
          <w:rFonts w:cs="Times New Roman"/>
          <w:kern w:val="0"/>
          <w:sz w:val="28"/>
        </w:rPr>
      </w:pPr>
    </w:p>
    <w:p>
      <w:pPr>
        <w:widowControl/>
        <w:adjustRightInd w:val="0"/>
        <w:snapToGrid w:val="0"/>
        <w:spacing w:after="200"/>
        <w:ind w:firstLine="560"/>
        <w:jc w:val="left"/>
        <w:textAlignment w:val="center"/>
        <w:rPr>
          <w:rFonts w:cs="Times New Roman"/>
          <w:kern w:val="0"/>
          <w:sz w:val="28"/>
        </w:rPr>
      </w:pPr>
    </w:p>
    <w:p>
      <w:pPr>
        <w:widowControl/>
        <w:adjustRightInd w:val="0"/>
        <w:snapToGrid w:val="0"/>
        <w:spacing w:after="200"/>
        <w:ind w:firstLine="560"/>
        <w:jc w:val="left"/>
        <w:textAlignment w:val="center"/>
        <w:rPr>
          <w:rFonts w:cs="Times New Roman"/>
          <w:kern w:val="0"/>
          <w:sz w:val="28"/>
        </w:rPr>
      </w:pPr>
    </w:p>
    <w:p>
      <w:pPr>
        <w:keepNext w:val="0"/>
        <w:keepLines w:val="0"/>
        <w:pageBreakBefore w:val="0"/>
        <w:widowControl/>
        <w:kinsoku/>
        <w:wordWrap/>
        <w:overflowPunct/>
        <w:topLinePunct w:val="0"/>
        <w:autoSpaceDE/>
        <w:autoSpaceDN/>
        <w:bidi w:val="0"/>
        <w:adjustRightInd w:val="0"/>
        <w:snapToGrid w:val="0"/>
        <w:spacing w:after="200"/>
        <w:ind w:firstLine="0" w:firstLineChars="0"/>
        <w:jc w:val="center"/>
        <w:textAlignment w:val="center"/>
        <w:rPr>
          <w:rFonts w:cs="Times New Roman"/>
          <w:kern w:val="0"/>
          <w:sz w:val="28"/>
          <w:szCs w:val="28"/>
        </w:rPr>
      </w:pPr>
    </w:p>
    <w:p>
      <w:pPr>
        <w:keepNext w:val="0"/>
        <w:keepLines w:val="0"/>
        <w:pageBreakBefore w:val="0"/>
        <w:widowControl/>
        <w:kinsoku/>
        <w:wordWrap/>
        <w:overflowPunct/>
        <w:topLinePunct w:val="0"/>
        <w:autoSpaceDE/>
        <w:autoSpaceDN/>
        <w:bidi w:val="0"/>
        <w:adjustRightInd w:val="0"/>
        <w:snapToGrid w:val="0"/>
        <w:spacing w:after="200"/>
        <w:ind w:left="1440" w:leftChars="600" w:firstLine="0" w:firstLineChars="0"/>
        <w:jc w:val="both"/>
        <w:textAlignment w:val="center"/>
        <w:rPr>
          <w:rFonts w:hint="eastAsia" w:eastAsia="宋体" w:cs="Times New Roman"/>
          <w:b/>
          <w:bCs/>
          <w:kern w:val="0"/>
          <w:sz w:val="32"/>
          <w:szCs w:val="32"/>
          <w:lang w:eastAsia="zh-CN"/>
        </w:rPr>
      </w:pPr>
      <w:r>
        <w:rPr>
          <w:rFonts w:cs="Times New Roman"/>
          <w:b/>
          <w:bCs/>
          <w:kern w:val="0"/>
          <w:sz w:val="32"/>
          <w:szCs w:val="32"/>
        </w:rPr>
        <w:t>建设单位：</w:t>
      </w:r>
      <w:r>
        <w:rPr>
          <w:rFonts w:hint="eastAsia" w:cs="Times New Roman"/>
          <w:b/>
          <w:bCs/>
          <w:kern w:val="0"/>
          <w:sz w:val="32"/>
          <w:szCs w:val="32"/>
          <w:lang w:eastAsia="zh-CN"/>
        </w:rPr>
        <w:t>新疆中泰兴苇生物科技有限公司</w:t>
      </w:r>
    </w:p>
    <w:p>
      <w:pPr>
        <w:keepNext w:val="0"/>
        <w:keepLines w:val="0"/>
        <w:pageBreakBefore w:val="0"/>
        <w:widowControl/>
        <w:kinsoku/>
        <w:wordWrap/>
        <w:overflowPunct/>
        <w:topLinePunct w:val="0"/>
        <w:autoSpaceDE/>
        <w:autoSpaceDN/>
        <w:bidi w:val="0"/>
        <w:adjustRightInd w:val="0"/>
        <w:snapToGrid w:val="0"/>
        <w:spacing w:after="200"/>
        <w:ind w:left="1440" w:leftChars="600" w:firstLine="0" w:firstLineChars="0"/>
        <w:jc w:val="both"/>
        <w:textAlignment w:val="center"/>
        <w:rPr>
          <w:rFonts w:hint="eastAsia" w:eastAsia="宋体" w:cs="Times New Roman"/>
          <w:kern w:val="0"/>
          <w:sz w:val="28"/>
          <w:szCs w:val="28"/>
          <w:lang w:eastAsia="zh-CN"/>
        </w:rPr>
      </w:pPr>
      <w:r>
        <w:rPr>
          <w:rFonts w:hint="eastAsia" w:cs="Times New Roman"/>
          <w:b/>
          <w:bCs/>
          <w:kern w:val="0"/>
          <w:sz w:val="32"/>
          <w:szCs w:val="32"/>
          <w:lang w:val="en-US" w:eastAsia="zh-CN"/>
        </w:rPr>
        <w:t>验收监测</w:t>
      </w:r>
      <w:r>
        <w:rPr>
          <w:rFonts w:cs="Times New Roman"/>
          <w:b/>
          <w:bCs/>
          <w:kern w:val="0"/>
          <w:sz w:val="32"/>
          <w:szCs w:val="32"/>
        </w:rPr>
        <w:t>单位：</w:t>
      </w:r>
      <w:r>
        <w:rPr>
          <w:rFonts w:hint="eastAsia" w:cs="Times New Roman"/>
          <w:b/>
          <w:bCs/>
          <w:kern w:val="0"/>
          <w:sz w:val="32"/>
          <w:szCs w:val="32"/>
          <w:lang w:eastAsia="zh-CN"/>
        </w:rPr>
        <w:t>新疆中测测试有限责任公司</w:t>
      </w:r>
    </w:p>
    <w:p>
      <w:pPr>
        <w:widowControl/>
        <w:adjustRightInd w:val="0"/>
        <w:snapToGrid w:val="0"/>
        <w:spacing w:after="200"/>
        <w:ind w:firstLine="560"/>
        <w:jc w:val="left"/>
        <w:textAlignment w:val="center"/>
        <w:rPr>
          <w:rFonts w:cs="Times New Roman"/>
          <w:kern w:val="0"/>
          <w:sz w:val="28"/>
          <w:szCs w:val="28"/>
        </w:rPr>
      </w:pPr>
    </w:p>
    <w:p>
      <w:pPr>
        <w:widowControl/>
        <w:adjustRightInd w:val="0"/>
        <w:snapToGrid w:val="0"/>
        <w:spacing w:after="200"/>
        <w:ind w:firstLine="560"/>
        <w:jc w:val="left"/>
        <w:textAlignment w:val="center"/>
        <w:rPr>
          <w:rFonts w:cs="Times New Roman"/>
          <w:kern w:val="0"/>
          <w:sz w:val="28"/>
          <w:szCs w:val="28"/>
        </w:rPr>
      </w:pPr>
    </w:p>
    <w:p>
      <w:pPr>
        <w:widowControl/>
        <w:adjustRightInd w:val="0"/>
        <w:snapToGrid w:val="0"/>
        <w:spacing w:after="200"/>
        <w:ind w:firstLine="560"/>
        <w:jc w:val="left"/>
        <w:textAlignment w:val="center"/>
        <w:rPr>
          <w:rFonts w:cs="Times New Roman"/>
          <w:kern w:val="0"/>
          <w:sz w:val="28"/>
          <w:szCs w:val="28"/>
        </w:rPr>
      </w:pPr>
    </w:p>
    <w:p>
      <w:pPr>
        <w:widowControl/>
        <w:adjustRightInd w:val="0"/>
        <w:snapToGrid w:val="0"/>
        <w:spacing w:after="200"/>
        <w:ind w:firstLine="560"/>
        <w:jc w:val="center"/>
        <w:textAlignment w:val="center"/>
        <w:rPr>
          <w:rFonts w:hint="default" w:ascii="Times New Roman" w:hAnsi="Times New Roman" w:eastAsia="宋体" w:cs="Times New Roman"/>
          <w:b/>
          <w:bCs/>
          <w:kern w:val="0"/>
          <w:sz w:val="32"/>
          <w:szCs w:val="32"/>
        </w:rPr>
      </w:pPr>
      <w:r>
        <w:rPr>
          <w:rFonts w:hint="default" w:ascii="Times New Roman" w:hAnsi="Times New Roman" w:eastAsia="宋体" w:cs="Times New Roman"/>
          <w:b/>
          <w:bCs/>
          <w:kern w:val="0"/>
          <w:sz w:val="32"/>
          <w:szCs w:val="32"/>
        </w:rPr>
        <w:t>202</w:t>
      </w:r>
      <w:r>
        <w:rPr>
          <w:rFonts w:hint="default" w:ascii="Times New Roman" w:hAnsi="Times New Roman" w:eastAsia="宋体" w:cs="Times New Roman"/>
          <w:b/>
          <w:bCs/>
          <w:kern w:val="0"/>
          <w:sz w:val="32"/>
          <w:szCs w:val="32"/>
          <w:lang w:val="en-US" w:eastAsia="zh-CN"/>
        </w:rPr>
        <w:t>3</w:t>
      </w:r>
      <w:r>
        <w:rPr>
          <w:rFonts w:hint="default" w:ascii="Times New Roman" w:hAnsi="Times New Roman" w:eastAsia="宋体" w:cs="Times New Roman"/>
          <w:b/>
          <w:bCs/>
          <w:kern w:val="0"/>
          <w:sz w:val="32"/>
          <w:szCs w:val="32"/>
        </w:rPr>
        <w:t>年</w:t>
      </w:r>
      <w:r>
        <w:rPr>
          <w:rFonts w:hint="default" w:ascii="Times New Roman" w:hAnsi="Times New Roman" w:eastAsia="宋体" w:cs="Times New Roman"/>
          <w:b/>
          <w:bCs/>
          <w:kern w:val="0"/>
          <w:sz w:val="32"/>
          <w:szCs w:val="32"/>
          <w:lang w:val="en-US" w:eastAsia="zh-CN"/>
        </w:rPr>
        <w:t>7</w:t>
      </w:r>
      <w:r>
        <w:rPr>
          <w:rFonts w:hint="default" w:ascii="Times New Roman" w:hAnsi="Times New Roman" w:eastAsia="宋体" w:cs="Times New Roman"/>
          <w:b/>
          <w:bCs/>
          <w:kern w:val="0"/>
          <w:sz w:val="32"/>
          <w:szCs w:val="32"/>
        </w:rPr>
        <w:t>月</w:t>
      </w:r>
    </w:p>
    <w:p>
      <w:pPr>
        <w:ind w:firstLine="640"/>
        <w:jc w:val="center"/>
        <w:rPr>
          <w:rFonts w:cs="Times New Roman"/>
          <w:sz w:val="32"/>
          <w:szCs w:val="32"/>
        </w:rPr>
        <w:sectPr>
          <w:headerReference r:id="rId5" w:type="default"/>
          <w:footerReference r:id="rId6" w:type="default"/>
          <w:pgSz w:w="11906" w:h="16838"/>
          <w:pgMar w:top="1418" w:right="1588" w:bottom="1418" w:left="1418" w:header="851" w:footer="992" w:gutter="0"/>
          <w:pgNumType w:start="1"/>
          <w:cols w:space="425" w:num="1"/>
          <w:docGrid w:type="lines" w:linePitch="326" w:charSpace="0"/>
        </w:sectPr>
      </w:pPr>
    </w:p>
    <w:p>
      <w:pPr>
        <w:ind w:firstLine="640"/>
        <w:jc w:val="center"/>
        <w:rPr>
          <w:rFonts w:cs="Times New Roman"/>
          <w:sz w:val="32"/>
          <w:szCs w:val="32"/>
        </w:rPr>
      </w:pPr>
      <w:r>
        <w:rPr>
          <w:rFonts w:cs="Times New Roman"/>
          <w:sz w:val="32"/>
          <w:szCs w:val="32"/>
        </w:rPr>
        <w:t>目录</w:t>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_Toc22047 </w:instrText>
      </w:r>
      <w:r>
        <w:rPr>
          <w:rFonts w:hint="eastAsia" w:ascii="宋体" w:hAnsi="宋体" w:eastAsia="宋体" w:cs="宋体"/>
          <w:sz w:val="24"/>
          <w:szCs w:val="24"/>
        </w:rPr>
        <w:fldChar w:fldCharType="separate"/>
      </w:r>
      <w:r>
        <w:rPr>
          <w:rFonts w:hint="eastAsia" w:ascii="宋体" w:hAnsi="宋体" w:eastAsia="宋体" w:cs="宋体"/>
          <w:sz w:val="24"/>
          <w:szCs w:val="24"/>
        </w:rPr>
        <w:t>1.项目概况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_Toc22047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_Toc9503 </w:instrText>
      </w:r>
      <w:r>
        <w:rPr>
          <w:rFonts w:hint="eastAsia" w:ascii="宋体" w:hAnsi="宋体" w:eastAsia="宋体" w:cs="宋体"/>
          <w:sz w:val="24"/>
          <w:szCs w:val="24"/>
        </w:rPr>
        <w:fldChar w:fldCharType="separate"/>
      </w:r>
      <w:r>
        <w:rPr>
          <w:rFonts w:hint="eastAsia" w:ascii="宋体" w:hAnsi="宋体" w:eastAsia="宋体" w:cs="宋体"/>
          <w:sz w:val="24"/>
          <w:szCs w:val="24"/>
        </w:rPr>
        <w:t>2.验收依据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_Toc9503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_Toc11113 </w:instrText>
      </w:r>
      <w:r>
        <w:rPr>
          <w:rFonts w:hint="eastAsia" w:ascii="宋体" w:hAnsi="宋体" w:eastAsia="宋体" w:cs="宋体"/>
          <w:sz w:val="24"/>
          <w:szCs w:val="24"/>
        </w:rPr>
        <w:fldChar w:fldCharType="separate"/>
      </w:r>
      <w:r>
        <w:rPr>
          <w:rFonts w:hint="eastAsia" w:ascii="宋体" w:hAnsi="宋体" w:eastAsia="宋体" w:cs="宋体"/>
          <w:sz w:val="24"/>
          <w:szCs w:val="24"/>
        </w:rPr>
        <w:t>2.1建设项目环境保护相关法律、法规和规章制度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_Toc11113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_Toc8221 </w:instrText>
      </w:r>
      <w:r>
        <w:rPr>
          <w:rFonts w:hint="eastAsia" w:ascii="宋体" w:hAnsi="宋体" w:eastAsia="宋体" w:cs="宋体"/>
          <w:sz w:val="24"/>
          <w:szCs w:val="24"/>
        </w:rPr>
        <w:fldChar w:fldCharType="separate"/>
      </w:r>
      <w:r>
        <w:rPr>
          <w:rFonts w:hint="eastAsia" w:ascii="宋体" w:hAnsi="宋体" w:eastAsia="宋体" w:cs="宋体"/>
          <w:sz w:val="24"/>
          <w:szCs w:val="24"/>
        </w:rPr>
        <w:t>2.2建设项目竣工环境保护验收技术规范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_Toc8221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_Toc18169 </w:instrText>
      </w:r>
      <w:r>
        <w:rPr>
          <w:rFonts w:hint="eastAsia" w:ascii="宋体" w:hAnsi="宋体" w:eastAsia="宋体" w:cs="宋体"/>
          <w:sz w:val="24"/>
          <w:szCs w:val="24"/>
        </w:rPr>
        <w:fldChar w:fldCharType="separate"/>
      </w:r>
      <w:r>
        <w:rPr>
          <w:rFonts w:hint="eastAsia" w:ascii="宋体" w:hAnsi="宋体" w:eastAsia="宋体" w:cs="宋体"/>
          <w:sz w:val="24"/>
          <w:szCs w:val="24"/>
        </w:rPr>
        <w:t>2.3建设项目环境影响报告书</w:t>
      </w:r>
      <w:r>
        <w:rPr>
          <w:rFonts w:hint="eastAsia" w:ascii="宋体" w:hAnsi="宋体" w:eastAsia="宋体" w:cs="宋体"/>
          <w:sz w:val="24"/>
          <w:szCs w:val="24"/>
          <w:lang w:eastAsia="zh-CN"/>
        </w:rPr>
        <w:t>（</w:t>
      </w:r>
      <w:r>
        <w:rPr>
          <w:rFonts w:hint="eastAsia" w:ascii="宋体" w:hAnsi="宋体" w:eastAsia="宋体" w:cs="宋体"/>
          <w:sz w:val="24"/>
          <w:szCs w:val="24"/>
        </w:rPr>
        <w:t>表）及其审批部门审批决定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_Toc18169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_Toc12401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2.4其他相关文件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_Toc12401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_Toc21267 </w:instrText>
      </w:r>
      <w:r>
        <w:rPr>
          <w:rFonts w:hint="eastAsia" w:ascii="宋体" w:hAnsi="宋体" w:eastAsia="宋体" w:cs="宋体"/>
          <w:sz w:val="24"/>
          <w:szCs w:val="24"/>
        </w:rPr>
        <w:fldChar w:fldCharType="separate"/>
      </w:r>
      <w:r>
        <w:rPr>
          <w:rFonts w:hint="eastAsia" w:ascii="宋体" w:hAnsi="宋体" w:eastAsia="宋体" w:cs="宋体"/>
          <w:sz w:val="24"/>
          <w:szCs w:val="24"/>
        </w:rPr>
        <w:t>3.工程建设情况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_Toc21267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_Toc8830 </w:instrText>
      </w:r>
      <w:r>
        <w:rPr>
          <w:rFonts w:hint="eastAsia" w:ascii="宋体" w:hAnsi="宋体" w:eastAsia="宋体" w:cs="宋体"/>
          <w:sz w:val="24"/>
          <w:szCs w:val="24"/>
        </w:rPr>
        <w:fldChar w:fldCharType="separate"/>
      </w:r>
      <w:r>
        <w:rPr>
          <w:rFonts w:hint="eastAsia" w:ascii="宋体" w:hAnsi="宋体" w:eastAsia="宋体" w:cs="宋体"/>
          <w:sz w:val="24"/>
          <w:szCs w:val="24"/>
        </w:rPr>
        <w:t>3.1地理位置及平面布置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_Toc8830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_Toc20730 </w:instrText>
      </w:r>
      <w:r>
        <w:rPr>
          <w:rFonts w:hint="eastAsia" w:ascii="宋体" w:hAnsi="宋体" w:eastAsia="宋体" w:cs="宋体"/>
          <w:sz w:val="24"/>
          <w:szCs w:val="24"/>
        </w:rPr>
        <w:fldChar w:fldCharType="separate"/>
      </w:r>
      <w:r>
        <w:rPr>
          <w:rFonts w:hint="eastAsia" w:ascii="宋体" w:hAnsi="宋体" w:eastAsia="宋体" w:cs="宋体"/>
          <w:sz w:val="24"/>
          <w:szCs w:val="24"/>
        </w:rPr>
        <w:t>3.2建设内容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_Toc20730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_Toc26431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d卫生纸原纸不考核掉粉率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_Toc26431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_Toc6006 </w:instrText>
      </w:r>
      <w:r>
        <w:rPr>
          <w:rFonts w:hint="eastAsia" w:ascii="宋体" w:hAnsi="宋体" w:eastAsia="宋体" w:cs="宋体"/>
          <w:sz w:val="24"/>
          <w:szCs w:val="24"/>
        </w:rPr>
        <w:fldChar w:fldCharType="separate"/>
      </w:r>
      <w:r>
        <w:rPr>
          <w:rFonts w:hint="eastAsia" w:ascii="宋体" w:hAnsi="宋体" w:eastAsia="宋体" w:cs="宋体"/>
          <w:sz w:val="24"/>
          <w:szCs w:val="24"/>
        </w:rPr>
        <w:t>3.3主要原辅材料及燃料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_Toc6006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_Toc25901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3.4.2</w:t>
      </w:r>
      <w:r>
        <w:rPr>
          <w:rFonts w:hint="eastAsia" w:ascii="宋体" w:hAnsi="宋体" w:eastAsia="宋体" w:cs="宋体"/>
          <w:sz w:val="24"/>
          <w:szCs w:val="24"/>
        </w:rPr>
        <w:t>主要能源消耗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_Toc25901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_Toc31400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3.4.3</w:t>
      </w:r>
      <w:r>
        <w:rPr>
          <w:rFonts w:hint="eastAsia" w:ascii="宋体" w:hAnsi="宋体" w:eastAsia="宋体" w:cs="宋体"/>
          <w:sz w:val="24"/>
          <w:szCs w:val="24"/>
        </w:rPr>
        <w:t>物料运输</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_Toc31400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_Toc12614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3.5</w:t>
      </w:r>
      <w:r>
        <w:rPr>
          <w:rFonts w:hint="eastAsia" w:ascii="宋体" w:hAnsi="宋体" w:eastAsia="宋体" w:cs="宋体"/>
          <w:sz w:val="24"/>
          <w:szCs w:val="24"/>
        </w:rPr>
        <w:t>公用工程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_Toc12614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_Toc3949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3.5</w:t>
      </w:r>
      <w:r>
        <w:rPr>
          <w:rFonts w:hint="eastAsia" w:ascii="宋体" w:hAnsi="宋体" w:eastAsia="宋体" w:cs="宋体"/>
          <w:sz w:val="24"/>
          <w:szCs w:val="24"/>
        </w:rPr>
        <w:t>.1给水工程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_Toc3949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_Toc31079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3.5</w:t>
      </w:r>
      <w:r>
        <w:rPr>
          <w:rFonts w:hint="eastAsia" w:ascii="宋体" w:hAnsi="宋体" w:eastAsia="宋体" w:cs="宋体"/>
          <w:sz w:val="24"/>
          <w:szCs w:val="24"/>
        </w:rPr>
        <w:t>.2排水工程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_Toc31079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_Toc20185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3.6</w:t>
      </w:r>
      <w:r>
        <w:rPr>
          <w:rFonts w:hint="eastAsia" w:ascii="宋体" w:hAnsi="宋体" w:eastAsia="宋体" w:cs="宋体"/>
          <w:sz w:val="24"/>
          <w:szCs w:val="24"/>
        </w:rPr>
        <w:t>物料平衡及水平衡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_Toc20185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_Toc29270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3.6</w:t>
      </w:r>
      <w:r>
        <w:rPr>
          <w:rFonts w:hint="eastAsia" w:ascii="宋体" w:hAnsi="宋体" w:eastAsia="宋体" w:cs="宋体"/>
          <w:sz w:val="24"/>
          <w:szCs w:val="24"/>
        </w:rPr>
        <w:t>.1浆水平衡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_Toc29270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_Toc28458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3.6</w:t>
      </w:r>
      <w:r>
        <w:rPr>
          <w:rFonts w:hint="eastAsia" w:ascii="宋体" w:hAnsi="宋体" w:eastAsia="宋体" w:cs="宋体"/>
          <w:sz w:val="24"/>
          <w:szCs w:val="24"/>
        </w:rPr>
        <w:t>.2物料平衡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_Toc28458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_Toc26915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3.6</w:t>
      </w:r>
      <w:r>
        <w:rPr>
          <w:rFonts w:hint="eastAsia" w:ascii="宋体" w:hAnsi="宋体" w:eastAsia="宋体" w:cs="宋体"/>
          <w:sz w:val="24"/>
          <w:szCs w:val="24"/>
        </w:rPr>
        <w:t>.3浆料平衡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_Toc26915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_Toc13562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3.6</w:t>
      </w:r>
      <w:r>
        <w:rPr>
          <w:rFonts w:hint="eastAsia" w:ascii="宋体" w:hAnsi="宋体" w:eastAsia="宋体" w:cs="宋体"/>
          <w:sz w:val="24"/>
          <w:szCs w:val="24"/>
        </w:rPr>
        <w:t>.4水平衡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_Toc13562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_Toc14684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3.6</w:t>
      </w:r>
      <w:r>
        <w:rPr>
          <w:rFonts w:hint="eastAsia" w:ascii="宋体" w:hAnsi="宋体" w:eastAsia="宋体" w:cs="宋体"/>
          <w:sz w:val="24"/>
          <w:szCs w:val="24"/>
        </w:rPr>
        <w:t>.5蒸汽平衡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_Toc14684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_Toc9877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3.7</w:t>
      </w:r>
      <w:r>
        <w:rPr>
          <w:rFonts w:hint="eastAsia" w:ascii="宋体" w:hAnsi="宋体" w:eastAsia="宋体" w:cs="宋体"/>
          <w:sz w:val="24"/>
          <w:szCs w:val="24"/>
        </w:rPr>
        <w:t>.1生产方法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_Toc9877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_Toc26715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3.7</w:t>
      </w:r>
      <w:r>
        <w:rPr>
          <w:rFonts w:hint="eastAsia" w:ascii="宋体" w:hAnsi="宋体" w:eastAsia="宋体" w:cs="宋体"/>
          <w:sz w:val="24"/>
          <w:szCs w:val="24"/>
        </w:rPr>
        <w:t>.2工艺流程简介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_Toc26715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_Toc13666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lang w:val="en-US" w:eastAsia="zh-CN"/>
        </w:rPr>
        <w:t>8</w:t>
      </w:r>
      <w:r>
        <w:rPr>
          <w:rFonts w:hint="eastAsia" w:ascii="宋体" w:hAnsi="宋体" w:eastAsia="宋体" w:cs="宋体"/>
          <w:sz w:val="24"/>
          <w:szCs w:val="24"/>
        </w:rPr>
        <w:t>项目变动情况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_Toc13666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_Toc22501 </w:instrText>
      </w:r>
      <w:r>
        <w:rPr>
          <w:rFonts w:hint="eastAsia" w:ascii="宋体" w:hAnsi="宋体" w:eastAsia="宋体" w:cs="宋体"/>
          <w:sz w:val="24"/>
          <w:szCs w:val="24"/>
        </w:rPr>
        <w:fldChar w:fldCharType="separate"/>
      </w:r>
      <w:r>
        <w:rPr>
          <w:rFonts w:hint="eastAsia" w:ascii="宋体" w:hAnsi="宋体" w:eastAsia="宋体" w:cs="宋体"/>
          <w:sz w:val="24"/>
          <w:szCs w:val="24"/>
        </w:rPr>
        <w:t>4.环境保护设施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_Toc22501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_Toc8860 </w:instrText>
      </w:r>
      <w:r>
        <w:rPr>
          <w:rFonts w:hint="eastAsia" w:ascii="宋体" w:hAnsi="宋体" w:eastAsia="宋体" w:cs="宋体"/>
          <w:sz w:val="24"/>
          <w:szCs w:val="24"/>
        </w:rPr>
        <w:fldChar w:fldCharType="separate"/>
      </w:r>
      <w:r>
        <w:rPr>
          <w:rFonts w:hint="eastAsia" w:ascii="宋体" w:hAnsi="宋体" w:eastAsia="宋体" w:cs="宋体"/>
          <w:sz w:val="24"/>
          <w:szCs w:val="24"/>
        </w:rPr>
        <w:t>4.1污染物及其防治措施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_Toc8860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_Toc18536 </w:instrText>
      </w:r>
      <w:r>
        <w:rPr>
          <w:rFonts w:hint="eastAsia" w:ascii="宋体" w:hAnsi="宋体" w:eastAsia="宋体" w:cs="宋体"/>
          <w:sz w:val="24"/>
          <w:szCs w:val="24"/>
        </w:rPr>
        <w:fldChar w:fldCharType="separate"/>
      </w:r>
      <w:r>
        <w:rPr>
          <w:rFonts w:hint="eastAsia" w:ascii="宋体" w:hAnsi="宋体" w:eastAsia="宋体" w:cs="宋体"/>
          <w:sz w:val="24"/>
          <w:szCs w:val="24"/>
        </w:rPr>
        <w:t>4.1.1废水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_Toc18536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_Toc29919 </w:instrText>
      </w:r>
      <w:r>
        <w:rPr>
          <w:rFonts w:hint="eastAsia" w:ascii="宋体" w:hAnsi="宋体" w:eastAsia="宋体" w:cs="宋体"/>
          <w:sz w:val="24"/>
          <w:szCs w:val="24"/>
        </w:rPr>
        <w:fldChar w:fldCharType="separate"/>
      </w:r>
      <w:r>
        <w:rPr>
          <w:rFonts w:hint="eastAsia" w:ascii="宋体" w:hAnsi="宋体" w:eastAsia="宋体" w:cs="宋体"/>
          <w:sz w:val="24"/>
          <w:szCs w:val="24"/>
        </w:rPr>
        <w:t>4.1.2废气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_Toc29919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_Toc28521 </w:instrText>
      </w:r>
      <w:r>
        <w:rPr>
          <w:rFonts w:hint="eastAsia" w:ascii="宋体" w:hAnsi="宋体" w:eastAsia="宋体" w:cs="宋体"/>
          <w:sz w:val="24"/>
          <w:szCs w:val="24"/>
        </w:rPr>
        <w:fldChar w:fldCharType="separate"/>
      </w:r>
      <w:r>
        <w:rPr>
          <w:rFonts w:hint="eastAsia" w:ascii="宋体" w:hAnsi="宋体" w:eastAsia="宋体" w:cs="宋体"/>
          <w:sz w:val="24"/>
          <w:szCs w:val="24"/>
        </w:rPr>
        <w:t>4.1.3噪声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_Toc28521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_Toc12297 </w:instrText>
      </w:r>
      <w:r>
        <w:rPr>
          <w:rFonts w:hint="eastAsia" w:ascii="宋体" w:hAnsi="宋体" w:eastAsia="宋体" w:cs="宋体"/>
          <w:sz w:val="24"/>
          <w:szCs w:val="24"/>
        </w:rPr>
        <w:fldChar w:fldCharType="separate"/>
      </w:r>
      <w:r>
        <w:rPr>
          <w:rFonts w:hint="eastAsia" w:ascii="宋体" w:hAnsi="宋体" w:eastAsia="宋体" w:cs="宋体"/>
          <w:sz w:val="24"/>
          <w:szCs w:val="24"/>
        </w:rPr>
        <w:t>4.1.4固废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_Toc12297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_Toc25188 </w:instrText>
      </w:r>
      <w:r>
        <w:rPr>
          <w:rFonts w:hint="eastAsia" w:ascii="宋体" w:hAnsi="宋体" w:eastAsia="宋体" w:cs="宋体"/>
          <w:sz w:val="24"/>
          <w:szCs w:val="24"/>
        </w:rPr>
        <w:fldChar w:fldCharType="separate"/>
      </w:r>
      <w:r>
        <w:rPr>
          <w:rFonts w:hint="eastAsia" w:ascii="宋体" w:hAnsi="宋体" w:eastAsia="宋体" w:cs="宋体"/>
          <w:sz w:val="24"/>
          <w:szCs w:val="24"/>
        </w:rPr>
        <w:t>4.2其他环境保护措施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_Toc25188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_Toc8147 </w:instrText>
      </w:r>
      <w:r>
        <w:rPr>
          <w:rFonts w:hint="eastAsia" w:ascii="宋体" w:hAnsi="宋体" w:eastAsia="宋体" w:cs="宋体"/>
          <w:sz w:val="24"/>
          <w:szCs w:val="24"/>
        </w:rPr>
        <w:fldChar w:fldCharType="separate"/>
      </w:r>
      <w:r>
        <w:rPr>
          <w:rFonts w:hint="eastAsia" w:ascii="宋体" w:hAnsi="宋体" w:eastAsia="宋体" w:cs="宋体"/>
          <w:sz w:val="24"/>
          <w:szCs w:val="24"/>
        </w:rPr>
        <w:t>4.2.1地下水环境保护措施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_Toc8147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_Toc5748 </w:instrText>
      </w:r>
      <w:r>
        <w:rPr>
          <w:rFonts w:hint="eastAsia" w:ascii="宋体" w:hAnsi="宋体" w:eastAsia="宋体" w:cs="宋体"/>
          <w:sz w:val="24"/>
          <w:szCs w:val="24"/>
        </w:rPr>
        <w:fldChar w:fldCharType="separate"/>
      </w:r>
      <w:r>
        <w:rPr>
          <w:rFonts w:hint="eastAsia" w:ascii="宋体" w:hAnsi="宋体" w:eastAsia="宋体" w:cs="宋体"/>
          <w:sz w:val="24"/>
          <w:szCs w:val="24"/>
        </w:rPr>
        <w:t>4.2.2水环境风险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_Toc5748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_Toc24692 </w:instrText>
      </w:r>
      <w:r>
        <w:rPr>
          <w:rFonts w:hint="eastAsia" w:ascii="宋体" w:hAnsi="宋体" w:eastAsia="宋体" w:cs="宋体"/>
          <w:sz w:val="24"/>
          <w:szCs w:val="24"/>
        </w:rPr>
        <w:fldChar w:fldCharType="separate"/>
      </w:r>
      <w:r>
        <w:rPr>
          <w:rFonts w:hint="eastAsia" w:ascii="宋体" w:hAnsi="宋体" w:eastAsia="宋体" w:cs="宋体"/>
          <w:sz w:val="24"/>
          <w:szCs w:val="24"/>
        </w:rPr>
        <w:t>4.2.3规范化排污口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_Toc24692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_Toc2236 </w:instrText>
      </w:r>
      <w:r>
        <w:rPr>
          <w:rFonts w:hint="eastAsia" w:ascii="宋体" w:hAnsi="宋体" w:eastAsia="宋体" w:cs="宋体"/>
          <w:sz w:val="24"/>
          <w:szCs w:val="24"/>
        </w:rPr>
        <w:fldChar w:fldCharType="separate"/>
      </w:r>
      <w:r>
        <w:rPr>
          <w:rFonts w:hint="eastAsia" w:ascii="宋体" w:hAnsi="宋体" w:eastAsia="宋体" w:cs="宋体"/>
          <w:sz w:val="24"/>
          <w:szCs w:val="24"/>
        </w:rPr>
        <w:t>4.3环保设施投资及</w:t>
      </w:r>
      <w:r>
        <w:rPr>
          <w:rFonts w:hint="eastAsia" w:ascii="宋体" w:hAnsi="宋体" w:eastAsia="宋体" w:cs="宋体"/>
          <w:sz w:val="24"/>
          <w:szCs w:val="24"/>
          <w:lang w:eastAsia="zh-CN"/>
        </w:rPr>
        <w:t>“</w:t>
      </w:r>
      <w:r>
        <w:rPr>
          <w:rFonts w:hint="eastAsia" w:ascii="宋体" w:hAnsi="宋体" w:eastAsia="宋体" w:cs="宋体"/>
          <w:sz w:val="24"/>
          <w:szCs w:val="24"/>
        </w:rPr>
        <w:t>三同时</w:t>
      </w:r>
      <w:r>
        <w:rPr>
          <w:rFonts w:hint="eastAsia" w:ascii="宋体" w:hAnsi="宋体" w:eastAsia="宋体" w:cs="宋体"/>
          <w:sz w:val="24"/>
          <w:szCs w:val="24"/>
          <w:lang w:eastAsia="zh-CN"/>
        </w:rPr>
        <w:t>”</w:t>
      </w:r>
      <w:r>
        <w:rPr>
          <w:rFonts w:hint="eastAsia" w:ascii="宋体" w:hAnsi="宋体" w:eastAsia="宋体" w:cs="宋体"/>
          <w:sz w:val="24"/>
          <w:szCs w:val="24"/>
        </w:rPr>
        <w:t>落实情况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_Toc2236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_Toc3392 </w:instrText>
      </w:r>
      <w:r>
        <w:rPr>
          <w:rFonts w:hint="eastAsia" w:ascii="宋体" w:hAnsi="宋体" w:eastAsia="宋体" w:cs="宋体"/>
          <w:sz w:val="24"/>
          <w:szCs w:val="24"/>
        </w:rPr>
        <w:fldChar w:fldCharType="separate"/>
      </w:r>
      <w:r>
        <w:rPr>
          <w:rFonts w:hint="eastAsia" w:ascii="宋体" w:hAnsi="宋体" w:eastAsia="宋体" w:cs="宋体"/>
          <w:sz w:val="24"/>
          <w:szCs w:val="24"/>
        </w:rPr>
        <w:t>4.3.1环保设施投资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_Toc3392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_Toc5899 </w:instrText>
      </w:r>
      <w:r>
        <w:rPr>
          <w:rFonts w:hint="eastAsia" w:ascii="宋体" w:hAnsi="宋体" w:eastAsia="宋体" w:cs="宋体"/>
          <w:sz w:val="24"/>
          <w:szCs w:val="24"/>
        </w:rPr>
        <w:fldChar w:fldCharType="separate"/>
      </w:r>
      <w:r>
        <w:rPr>
          <w:rFonts w:hint="eastAsia" w:ascii="宋体" w:hAnsi="宋体" w:eastAsia="宋体" w:cs="宋体"/>
          <w:sz w:val="24"/>
          <w:szCs w:val="24"/>
        </w:rPr>
        <w:t>4.3.2环境保护</w:t>
      </w:r>
      <w:r>
        <w:rPr>
          <w:rFonts w:hint="eastAsia" w:ascii="宋体" w:hAnsi="宋体" w:eastAsia="宋体" w:cs="宋体"/>
          <w:sz w:val="24"/>
          <w:szCs w:val="24"/>
          <w:lang w:eastAsia="zh-CN"/>
        </w:rPr>
        <w:t>“</w:t>
      </w:r>
      <w:r>
        <w:rPr>
          <w:rFonts w:hint="eastAsia" w:ascii="宋体" w:hAnsi="宋体" w:eastAsia="宋体" w:cs="宋体"/>
          <w:sz w:val="24"/>
          <w:szCs w:val="24"/>
        </w:rPr>
        <w:t>三同时</w:t>
      </w:r>
      <w:r>
        <w:rPr>
          <w:rFonts w:hint="eastAsia" w:ascii="宋体" w:hAnsi="宋体" w:eastAsia="宋体" w:cs="宋体"/>
          <w:sz w:val="24"/>
          <w:szCs w:val="24"/>
          <w:lang w:eastAsia="zh-CN"/>
        </w:rPr>
        <w:t>”</w:t>
      </w:r>
      <w:r>
        <w:rPr>
          <w:rFonts w:hint="eastAsia" w:ascii="宋体" w:hAnsi="宋体" w:eastAsia="宋体" w:cs="宋体"/>
          <w:sz w:val="24"/>
          <w:szCs w:val="24"/>
        </w:rPr>
        <w:t>落实情况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_Toc5899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_Toc17746 </w:instrText>
      </w:r>
      <w:r>
        <w:rPr>
          <w:rFonts w:hint="eastAsia" w:ascii="宋体" w:hAnsi="宋体" w:eastAsia="宋体" w:cs="宋体"/>
          <w:sz w:val="24"/>
          <w:szCs w:val="24"/>
        </w:rPr>
        <w:fldChar w:fldCharType="separate"/>
      </w:r>
      <w:r>
        <w:rPr>
          <w:rFonts w:hint="eastAsia" w:ascii="宋体" w:hAnsi="宋体" w:eastAsia="宋体" w:cs="宋体"/>
          <w:sz w:val="24"/>
          <w:szCs w:val="24"/>
        </w:rPr>
        <w:t>5.环境影响报告书</w:t>
      </w:r>
      <w:r>
        <w:rPr>
          <w:rFonts w:hint="eastAsia" w:ascii="宋体" w:hAnsi="宋体" w:eastAsia="宋体" w:cs="宋体"/>
          <w:sz w:val="24"/>
          <w:szCs w:val="24"/>
          <w:lang w:eastAsia="zh-CN"/>
        </w:rPr>
        <w:t>（</w:t>
      </w:r>
      <w:r>
        <w:rPr>
          <w:rFonts w:hint="eastAsia" w:ascii="宋体" w:hAnsi="宋体" w:eastAsia="宋体" w:cs="宋体"/>
          <w:sz w:val="24"/>
          <w:szCs w:val="24"/>
        </w:rPr>
        <w:t>表）主要结论与建议及其审批部门审批决定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_Toc17746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_Toc25211 </w:instrText>
      </w:r>
      <w:r>
        <w:rPr>
          <w:rFonts w:hint="eastAsia" w:ascii="宋体" w:hAnsi="宋体" w:eastAsia="宋体" w:cs="宋体"/>
          <w:sz w:val="24"/>
          <w:szCs w:val="24"/>
        </w:rPr>
        <w:fldChar w:fldCharType="separate"/>
      </w:r>
      <w:r>
        <w:rPr>
          <w:rFonts w:hint="eastAsia" w:ascii="宋体" w:hAnsi="宋体" w:eastAsia="宋体" w:cs="宋体"/>
          <w:sz w:val="24"/>
          <w:szCs w:val="24"/>
        </w:rPr>
        <w:t>5.1环境影响报告书</w:t>
      </w:r>
      <w:r>
        <w:rPr>
          <w:rFonts w:hint="eastAsia" w:ascii="宋体" w:hAnsi="宋体" w:eastAsia="宋体" w:cs="宋体"/>
          <w:sz w:val="24"/>
          <w:szCs w:val="24"/>
          <w:lang w:eastAsia="zh-CN"/>
        </w:rPr>
        <w:t>（</w:t>
      </w:r>
      <w:r>
        <w:rPr>
          <w:rFonts w:hint="eastAsia" w:ascii="宋体" w:hAnsi="宋体" w:eastAsia="宋体" w:cs="宋体"/>
          <w:sz w:val="24"/>
          <w:szCs w:val="24"/>
        </w:rPr>
        <w:t>表）主要结论与建议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_Toc25211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_Toc12853 </w:instrText>
      </w:r>
      <w:r>
        <w:rPr>
          <w:rFonts w:hint="eastAsia" w:ascii="宋体" w:hAnsi="宋体" w:eastAsia="宋体" w:cs="宋体"/>
          <w:sz w:val="24"/>
          <w:szCs w:val="24"/>
        </w:rPr>
        <w:fldChar w:fldCharType="separate"/>
      </w:r>
      <w:r>
        <w:rPr>
          <w:rFonts w:hint="eastAsia" w:ascii="宋体" w:hAnsi="宋体" w:eastAsia="宋体" w:cs="宋体"/>
          <w:sz w:val="24"/>
          <w:szCs w:val="24"/>
        </w:rPr>
        <w:t>5.1.1建设项目概况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_Toc12853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_Toc12245 </w:instrText>
      </w:r>
      <w:r>
        <w:rPr>
          <w:rFonts w:hint="eastAsia" w:ascii="宋体" w:hAnsi="宋体" w:eastAsia="宋体" w:cs="宋体"/>
          <w:sz w:val="24"/>
          <w:szCs w:val="24"/>
        </w:rPr>
        <w:fldChar w:fldCharType="separate"/>
      </w:r>
      <w:r>
        <w:rPr>
          <w:rFonts w:hint="eastAsia" w:ascii="宋体" w:hAnsi="宋体" w:eastAsia="宋体" w:cs="宋体"/>
          <w:sz w:val="24"/>
          <w:szCs w:val="24"/>
        </w:rPr>
        <w:t>5.1.2环境质量现状评价结论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_Toc12245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_Toc2362 </w:instrText>
      </w:r>
      <w:r>
        <w:rPr>
          <w:rFonts w:hint="eastAsia" w:ascii="宋体" w:hAnsi="宋体" w:eastAsia="宋体" w:cs="宋体"/>
          <w:sz w:val="24"/>
          <w:szCs w:val="24"/>
        </w:rPr>
        <w:fldChar w:fldCharType="separate"/>
      </w:r>
      <w:r>
        <w:rPr>
          <w:rFonts w:hint="eastAsia" w:ascii="宋体" w:hAnsi="宋体" w:eastAsia="宋体" w:cs="宋体"/>
          <w:sz w:val="24"/>
          <w:szCs w:val="24"/>
        </w:rPr>
        <w:t>5.1.3环境影响分析结论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_Toc2362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_Toc31789 </w:instrText>
      </w:r>
      <w:r>
        <w:rPr>
          <w:rFonts w:hint="eastAsia" w:ascii="宋体" w:hAnsi="宋体" w:eastAsia="宋体" w:cs="宋体"/>
          <w:sz w:val="24"/>
          <w:szCs w:val="24"/>
        </w:rPr>
        <w:fldChar w:fldCharType="separate"/>
      </w:r>
      <w:r>
        <w:rPr>
          <w:rFonts w:hint="eastAsia" w:ascii="宋体" w:hAnsi="宋体" w:eastAsia="宋体" w:cs="宋体"/>
          <w:sz w:val="24"/>
          <w:szCs w:val="24"/>
        </w:rPr>
        <w:t>5.1.4污染防治措施可行性分析结论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_Toc31789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_Toc1054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5.1.4.2</w:t>
      </w:r>
      <w:r>
        <w:rPr>
          <w:rFonts w:hint="eastAsia" w:ascii="宋体" w:hAnsi="宋体" w:eastAsia="宋体" w:cs="宋体"/>
          <w:sz w:val="24"/>
          <w:szCs w:val="24"/>
        </w:rPr>
        <w:t>地表水环境影响分析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_Toc1054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_Toc28507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5.1.4.3</w:t>
      </w:r>
      <w:r>
        <w:rPr>
          <w:rFonts w:hint="eastAsia" w:ascii="宋体" w:hAnsi="宋体" w:eastAsia="宋体" w:cs="宋体"/>
          <w:sz w:val="24"/>
          <w:szCs w:val="24"/>
        </w:rPr>
        <w:t>合理性分析结论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_Toc28507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_Toc29733 </w:instrText>
      </w:r>
      <w:r>
        <w:rPr>
          <w:rFonts w:hint="eastAsia" w:ascii="宋体" w:hAnsi="宋体" w:eastAsia="宋体" w:cs="宋体"/>
          <w:sz w:val="24"/>
          <w:szCs w:val="24"/>
        </w:rPr>
        <w:fldChar w:fldCharType="separate"/>
      </w:r>
      <w:r>
        <w:rPr>
          <w:rFonts w:hint="eastAsia" w:ascii="宋体" w:hAnsi="宋体" w:eastAsia="宋体" w:cs="宋体"/>
          <w:sz w:val="24"/>
          <w:szCs w:val="24"/>
        </w:rPr>
        <w:t>5.1.7环评总结论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_Toc29733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_Toc25399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lang w:val="en-US" w:eastAsia="zh-CN"/>
        </w:rPr>
        <w:t>4.3</w:t>
      </w:r>
      <w:r>
        <w:rPr>
          <w:rFonts w:hint="eastAsia" w:ascii="宋体" w:hAnsi="宋体" w:eastAsia="宋体" w:cs="宋体"/>
          <w:sz w:val="24"/>
          <w:szCs w:val="24"/>
        </w:rPr>
        <w:t>要求及建议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_Toc25399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_Toc27358 </w:instrText>
      </w:r>
      <w:r>
        <w:rPr>
          <w:rFonts w:hint="eastAsia" w:ascii="宋体" w:hAnsi="宋体" w:eastAsia="宋体" w:cs="宋体"/>
          <w:sz w:val="24"/>
          <w:szCs w:val="24"/>
        </w:rPr>
        <w:fldChar w:fldCharType="separate"/>
      </w:r>
      <w:r>
        <w:rPr>
          <w:rFonts w:hint="eastAsia" w:ascii="宋体" w:hAnsi="宋体" w:eastAsia="宋体" w:cs="宋体"/>
          <w:sz w:val="24"/>
          <w:szCs w:val="24"/>
        </w:rPr>
        <w:t>5.2审批部门审批决定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_Toc27358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_Toc11718 </w:instrText>
      </w:r>
      <w:r>
        <w:rPr>
          <w:rFonts w:hint="eastAsia" w:ascii="宋体" w:hAnsi="宋体" w:eastAsia="宋体" w:cs="宋体"/>
          <w:sz w:val="24"/>
          <w:szCs w:val="24"/>
        </w:rPr>
        <w:fldChar w:fldCharType="separate"/>
      </w:r>
      <w:r>
        <w:rPr>
          <w:rFonts w:hint="eastAsia" w:ascii="宋体" w:hAnsi="宋体" w:eastAsia="宋体" w:cs="宋体"/>
          <w:sz w:val="24"/>
          <w:szCs w:val="24"/>
        </w:rPr>
        <w:t>5.3环评批复落实情况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_Toc11718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_Toc3619 </w:instrText>
      </w:r>
      <w:r>
        <w:rPr>
          <w:rFonts w:hint="eastAsia" w:ascii="宋体" w:hAnsi="宋体" w:eastAsia="宋体" w:cs="宋体"/>
          <w:sz w:val="24"/>
          <w:szCs w:val="24"/>
        </w:rPr>
        <w:fldChar w:fldCharType="separate"/>
      </w:r>
      <w:r>
        <w:rPr>
          <w:rFonts w:hint="eastAsia" w:ascii="宋体" w:hAnsi="宋体" w:eastAsia="宋体" w:cs="宋体"/>
          <w:sz w:val="24"/>
          <w:szCs w:val="24"/>
        </w:rPr>
        <w:t>6.验收执行标准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_Toc3619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_Toc3514 </w:instrText>
      </w:r>
      <w:r>
        <w:rPr>
          <w:rFonts w:hint="eastAsia" w:ascii="宋体" w:hAnsi="宋体" w:eastAsia="宋体" w:cs="宋体"/>
          <w:sz w:val="24"/>
          <w:szCs w:val="24"/>
        </w:rPr>
        <w:fldChar w:fldCharType="separate"/>
      </w:r>
      <w:r>
        <w:rPr>
          <w:rFonts w:hint="eastAsia" w:ascii="宋体" w:hAnsi="宋体" w:eastAsia="宋体" w:cs="宋体"/>
          <w:sz w:val="24"/>
          <w:szCs w:val="24"/>
        </w:rPr>
        <w:t>6.1废气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_Toc3514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_Toc6430 </w:instrText>
      </w:r>
      <w:r>
        <w:rPr>
          <w:rFonts w:hint="eastAsia" w:ascii="宋体" w:hAnsi="宋体" w:eastAsia="宋体" w:cs="宋体"/>
          <w:sz w:val="24"/>
          <w:szCs w:val="24"/>
        </w:rPr>
        <w:fldChar w:fldCharType="separate"/>
      </w:r>
      <w:r>
        <w:rPr>
          <w:rFonts w:hint="eastAsia" w:ascii="宋体" w:hAnsi="宋体" w:eastAsia="宋体" w:cs="宋体"/>
          <w:sz w:val="24"/>
          <w:szCs w:val="24"/>
        </w:rPr>
        <w:t>6.2噪声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_Toc6430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_Toc21482 </w:instrText>
      </w:r>
      <w:r>
        <w:rPr>
          <w:rFonts w:hint="eastAsia" w:ascii="宋体" w:hAnsi="宋体" w:eastAsia="宋体" w:cs="宋体"/>
          <w:sz w:val="24"/>
          <w:szCs w:val="24"/>
        </w:rPr>
        <w:fldChar w:fldCharType="separate"/>
      </w:r>
      <w:r>
        <w:rPr>
          <w:rFonts w:hint="eastAsia" w:ascii="宋体" w:hAnsi="宋体" w:eastAsia="宋体" w:cs="宋体"/>
          <w:sz w:val="24"/>
          <w:szCs w:val="24"/>
        </w:rPr>
        <w:t>6.3废水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_Toc21482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_Toc23117 </w:instrText>
      </w:r>
      <w:r>
        <w:rPr>
          <w:rFonts w:hint="eastAsia" w:ascii="宋体" w:hAnsi="宋体" w:eastAsia="宋体" w:cs="宋体"/>
          <w:sz w:val="24"/>
          <w:szCs w:val="24"/>
        </w:rPr>
        <w:fldChar w:fldCharType="separate"/>
      </w:r>
      <w:r>
        <w:rPr>
          <w:rFonts w:hint="eastAsia" w:ascii="宋体" w:hAnsi="宋体" w:eastAsia="宋体" w:cs="宋体"/>
          <w:sz w:val="24"/>
          <w:szCs w:val="24"/>
        </w:rPr>
        <w:t>7.验收监测内容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_Toc23117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_Toc31162 </w:instrText>
      </w:r>
      <w:r>
        <w:rPr>
          <w:rFonts w:hint="eastAsia" w:ascii="宋体" w:hAnsi="宋体" w:eastAsia="宋体" w:cs="宋体"/>
          <w:sz w:val="24"/>
          <w:szCs w:val="24"/>
        </w:rPr>
        <w:fldChar w:fldCharType="separate"/>
      </w:r>
      <w:r>
        <w:rPr>
          <w:rFonts w:hint="eastAsia" w:ascii="宋体" w:hAnsi="宋体" w:eastAsia="宋体" w:cs="宋体"/>
          <w:sz w:val="24"/>
          <w:szCs w:val="24"/>
        </w:rPr>
        <w:t>7.1环境保护设施调试运行效果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_Toc31162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_Toc16100 </w:instrText>
      </w:r>
      <w:r>
        <w:rPr>
          <w:rFonts w:hint="eastAsia" w:ascii="宋体" w:hAnsi="宋体" w:eastAsia="宋体" w:cs="宋体"/>
          <w:sz w:val="24"/>
          <w:szCs w:val="24"/>
        </w:rPr>
        <w:fldChar w:fldCharType="separate"/>
      </w:r>
      <w:r>
        <w:rPr>
          <w:rFonts w:hint="eastAsia" w:ascii="宋体" w:hAnsi="宋体" w:eastAsia="宋体" w:cs="宋体"/>
          <w:sz w:val="24"/>
          <w:szCs w:val="24"/>
        </w:rPr>
        <w:t>7.1.1废气监测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_Toc16100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_Toc4996 </w:instrText>
      </w:r>
      <w:r>
        <w:rPr>
          <w:rFonts w:hint="eastAsia" w:ascii="宋体" w:hAnsi="宋体" w:eastAsia="宋体" w:cs="宋体"/>
          <w:sz w:val="24"/>
          <w:szCs w:val="24"/>
        </w:rPr>
        <w:fldChar w:fldCharType="separate"/>
      </w:r>
      <w:r>
        <w:rPr>
          <w:rFonts w:hint="eastAsia" w:ascii="宋体" w:hAnsi="宋体" w:eastAsia="宋体" w:cs="宋体"/>
          <w:sz w:val="24"/>
          <w:szCs w:val="24"/>
        </w:rPr>
        <w:t>7.1.2厂界噪声监测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_Toc4996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_Toc15867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7.1.3 地下水监测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_Toc15867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_Toc18304 </w:instrText>
      </w:r>
      <w:r>
        <w:rPr>
          <w:rFonts w:hint="eastAsia" w:ascii="宋体" w:hAnsi="宋体" w:eastAsia="宋体" w:cs="宋体"/>
          <w:sz w:val="24"/>
          <w:szCs w:val="24"/>
        </w:rPr>
        <w:fldChar w:fldCharType="separate"/>
      </w:r>
      <w:r>
        <w:rPr>
          <w:rFonts w:hint="eastAsia" w:ascii="宋体" w:hAnsi="宋体" w:eastAsia="宋体" w:cs="宋体"/>
          <w:sz w:val="24"/>
          <w:szCs w:val="24"/>
        </w:rPr>
        <w:t>8.质量保证和质量控制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_Toc18304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_Toc19047 </w:instrText>
      </w:r>
      <w:r>
        <w:rPr>
          <w:rFonts w:hint="eastAsia" w:ascii="宋体" w:hAnsi="宋体" w:eastAsia="宋体" w:cs="宋体"/>
          <w:sz w:val="24"/>
          <w:szCs w:val="24"/>
        </w:rPr>
        <w:fldChar w:fldCharType="separate"/>
      </w:r>
      <w:r>
        <w:rPr>
          <w:rFonts w:hint="eastAsia" w:ascii="宋体" w:hAnsi="宋体" w:eastAsia="宋体" w:cs="宋体"/>
          <w:sz w:val="24"/>
          <w:szCs w:val="24"/>
        </w:rPr>
        <w:t>8.1检测分析方法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_Toc19047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_Toc29888 </w:instrText>
      </w:r>
      <w:r>
        <w:rPr>
          <w:rFonts w:hint="eastAsia" w:ascii="宋体" w:hAnsi="宋体" w:eastAsia="宋体" w:cs="宋体"/>
          <w:sz w:val="24"/>
          <w:szCs w:val="24"/>
        </w:rPr>
        <w:fldChar w:fldCharType="separate"/>
      </w:r>
      <w:r>
        <w:rPr>
          <w:rFonts w:hint="eastAsia" w:ascii="宋体" w:hAnsi="宋体" w:eastAsia="宋体" w:cs="宋体"/>
          <w:sz w:val="24"/>
          <w:szCs w:val="24"/>
        </w:rPr>
        <w:t>8.2检测仪器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_Toc29888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_Toc26679 </w:instrText>
      </w:r>
      <w:r>
        <w:rPr>
          <w:rFonts w:hint="eastAsia" w:ascii="宋体" w:hAnsi="宋体" w:eastAsia="宋体" w:cs="宋体"/>
          <w:sz w:val="24"/>
          <w:szCs w:val="24"/>
        </w:rPr>
        <w:fldChar w:fldCharType="separate"/>
      </w:r>
      <w:r>
        <w:rPr>
          <w:rFonts w:hint="eastAsia" w:ascii="宋体" w:hAnsi="宋体" w:eastAsia="宋体" w:cs="宋体"/>
          <w:sz w:val="24"/>
          <w:szCs w:val="24"/>
        </w:rPr>
        <w:t>8.3人员能力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_Toc26679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_Toc21308 </w:instrText>
      </w:r>
      <w:r>
        <w:rPr>
          <w:rFonts w:hint="eastAsia" w:ascii="宋体" w:hAnsi="宋体" w:eastAsia="宋体" w:cs="宋体"/>
          <w:sz w:val="24"/>
          <w:szCs w:val="24"/>
        </w:rPr>
        <w:fldChar w:fldCharType="separate"/>
      </w:r>
      <w:r>
        <w:rPr>
          <w:rFonts w:hint="eastAsia" w:ascii="宋体" w:hAnsi="宋体" w:eastAsia="宋体" w:cs="宋体"/>
          <w:sz w:val="24"/>
          <w:szCs w:val="24"/>
        </w:rPr>
        <w:t>9.验收监测结果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_Toc21308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_Toc11042 </w:instrText>
      </w:r>
      <w:r>
        <w:rPr>
          <w:rFonts w:hint="eastAsia" w:ascii="宋体" w:hAnsi="宋体" w:eastAsia="宋体" w:cs="宋体"/>
          <w:sz w:val="24"/>
          <w:szCs w:val="24"/>
        </w:rPr>
        <w:fldChar w:fldCharType="separate"/>
      </w:r>
      <w:r>
        <w:rPr>
          <w:rFonts w:hint="eastAsia" w:ascii="宋体" w:hAnsi="宋体" w:eastAsia="宋体" w:cs="宋体"/>
          <w:sz w:val="24"/>
          <w:szCs w:val="24"/>
        </w:rPr>
        <w:t>9.1生产工况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_Toc11042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_Toc23807 </w:instrText>
      </w:r>
      <w:r>
        <w:rPr>
          <w:rFonts w:hint="eastAsia" w:ascii="宋体" w:hAnsi="宋体" w:eastAsia="宋体" w:cs="宋体"/>
          <w:sz w:val="24"/>
          <w:szCs w:val="24"/>
        </w:rPr>
        <w:fldChar w:fldCharType="separate"/>
      </w:r>
      <w:r>
        <w:rPr>
          <w:rFonts w:hint="eastAsia" w:ascii="宋体" w:hAnsi="宋体" w:eastAsia="宋体" w:cs="宋体"/>
          <w:sz w:val="24"/>
          <w:szCs w:val="24"/>
        </w:rPr>
        <w:t>9.2环保设施调试运行效果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_Toc23807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_Toc19825 </w:instrText>
      </w:r>
      <w:r>
        <w:rPr>
          <w:rFonts w:hint="eastAsia" w:ascii="宋体" w:hAnsi="宋体" w:eastAsia="宋体" w:cs="宋体"/>
          <w:sz w:val="24"/>
          <w:szCs w:val="24"/>
        </w:rPr>
        <w:fldChar w:fldCharType="separate"/>
      </w:r>
      <w:r>
        <w:rPr>
          <w:rFonts w:hint="eastAsia" w:ascii="宋体" w:hAnsi="宋体" w:eastAsia="宋体" w:cs="宋体"/>
          <w:sz w:val="24"/>
          <w:szCs w:val="24"/>
        </w:rPr>
        <w:t>9.2.1污染物排放监测结果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_Toc19825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_Toc4591 </w:instrText>
      </w:r>
      <w:r>
        <w:rPr>
          <w:rFonts w:hint="eastAsia" w:ascii="宋体" w:hAnsi="宋体" w:eastAsia="宋体" w:cs="宋体"/>
          <w:sz w:val="24"/>
          <w:szCs w:val="24"/>
        </w:rPr>
        <w:fldChar w:fldCharType="separate"/>
      </w:r>
      <w:r>
        <w:rPr>
          <w:rFonts w:hint="eastAsia" w:ascii="宋体" w:hAnsi="宋体" w:eastAsia="宋体" w:cs="宋体"/>
          <w:sz w:val="24"/>
          <w:szCs w:val="24"/>
        </w:rPr>
        <w:t>10.验收监测结论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_Toc4591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_Toc19239 </w:instrText>
      </w:r>
      <w:r>
        <w:rPr>
          <w:rFonts w:hint="eastAsia" w:ascii="宋体" w:hAnsi="宋体" w:eastAsia="宋体" w:cs="宋体"/>
          <w:sz w:val="24"/>
          <w:szCs w:val="24"/>
        </w:rPr>
        <w:fldChar w:fldCharType="separate"/>
      </w:r>
      <w:r>
        <w:rPr>
          <w:rFonts w:hint="eastAsia" w:ascii="宋体" w:hAnsi="宋体" w:eastAsia="宋体" w:cs="宋体"/>
          <w:sz w:val="24"/>
          <w:szCs w:val="24"/>
        </w:rPr>
        <w:t>10.1污染物排放监测结果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_Toc19239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_Toc29398 </w:instrText>
      </w:r>
      <w:r>
        <w:rPr>
          <w:rFonts w:hint="eastAsia" w:ascii="宋体" w:hAnsi="宋体" w:eastAsia="宋体" w:cs="宋体"/>
          <w:sz w:val="24"/>
          <w:szCs w:val="24"/>
        </w:rPr>
        <w:fldChar w:fldCharType="separate"/>
      </w:r>
      <w:r>
        <w:rPr>
          <w:rFonts w:hint="eastAsia" w:ascii="宋体" w:hAnsi="宋体" w:eastAsia="宋体" w:cs="宋体"/>
          <w:sz w:val="24"/>
          <w:szCs w:val="24"/>
        </w:rPr>
        <w:t>10.2总体结论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_Toc29398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900"/>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_Toc2932 </w:instrText>
      </w:r>
      <w:r>
        <w:rPr>
          <w:rFonts w:hint="eastAsia" w:ascii="宋体" w:hAnsi="宋体" w:eastAsia="宋体" w:cs="宋体"/>
          <w:sz w:val="24"/>
          <w:szCs w:val="24"/>
        </w:rPr>
        <w:fldChar w:fldCharType="separate"/>
      </w:r>
      <w:r>
        <w:rPr>
          <w:rFonts w:hint="eastAsia" w:ascii="宋体" w:hAnsi="宋体" w:eastAsia="宋体" w:cs="宋体"/>
          <w:sz w:val="24"/>
          <w:szCs w:val="24"/>
        </w:rPr>
        <w:t>10.3建议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_Toc2932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cs="Times New Roman"/>
        </w:rPr>
        <w:sectPr>
          <w:pgSz w:w="11906" w:h="16838"/>
          <w:pgMar w:top="1418" w:right="1588" w:bottom="1418" w:left="1418" w:header="851" w:footer="992" w:gutter="0"/>
          <w:pgNumType w:start="1"/>
          <w:cols w:space="425" w:num="1"/>
          <w:docGrid w:type="lines" w:linePitch="326" w:charSpace="0"/>
        </w:sectPr>
      </w:pPr>
      <w:r>
        <w:rPr>
          <w:rFonts w:hint="eastAsia" w:ascii="宋体" w:hAnsi="宋体" w:eastAsia="宋体" w:cs="宋体"/>
          <w:sz w:val="24"/>
          <w:szCs w:val="24"/>
        </w:rPr>
        <w:fldChar w:fldCharType="end"/>
      </w:r>
    </w:p>
    <w:p>
      <w:pPr>
        <w:pStyle w:val="2"/>
        <w:rPr>
          <w:rFonts w:cs="Times New Roman"/>
        </w:rPr>
      </w:pPr>
      <w:bookmarkStart w:id="0" w:name="_Toc22047"/>
      <w:r>
        <w:rPr>
          <w:rFonts w:cs="Times New Roman"/>
        </w:rPr>
        <w:t>1.项目概况</w:t>
      </w:r>
      <w:bookmarkEnd w:id="0"/>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新疆中泰兴苇生物科技有限公司</w:t>
      </w:r>
      <w:r>
        <w:rPr>
          <w:rFonts w:hint="default" w:ascii="Times New Roman" w:hAnsi="Times New Roman" w:cs="Times New Roman"/>
          <w:lang w:eastAsia="zh-CN"/>
        </w:rPr>
        <w:t>（</w:t>
      </w:r>
      <w:r>
        <w:rPr>
          <w:rFonts w:hint="default" w:ascii="Times New Roman" w:hAnsi="Times New Roman" w:cs="Times New Roman"/>
        </w:rPr>
        <w:t>以下简称</w:t>
      </w:r>
      <w:r>
        <w:rPr>
          <w:rFonts w:hint="eastAsia" w:ascii="Times New Roman" w:hAnsi="Times New Roman" w:cs="Times New Roman"/>
          <w:lang w:eastAsia="zh-CN"/>
        </w:rPr>
        <w:t>“</w:t>
      </w:r>
      <w:r>
        <w:rPr>
          <w:rFonts w:hint="default" w:ascii="Times New Roman" w:hAnsi="Times New Roman" w:cs="Times New Roman"/>
        </w:rPr>
        <w:t>中泰兴苇</w:t>
      </w:r>
      <w:r>
        <w:rPr>
          <w:rFonts w:hint="eastAsia" w:ascii="Times New Roman" w:hAnsi="Times New Roman" w:cs="Times New Roman"/>
          <w:lang w:eastAsia="zh-CN"/>
        </w:rPr>
        <w:t>”</w:t>
      </w:r>
      <w:r>
        <w:rPr>
          <w:rFonts w:hint="default" w:ascii="Times New Roman" w:hAnsi="Times New Roman" w:cs="Times New Roman"/>
        </w:rPr>
        <w:t>或</w:t>
      </w:r>
      <w:r>
        <w:rPr>
          <w:rFonts w:hint="eastAsia" w:ascii="Times New Roman" w:hAnsi="Times New Roman" w:cs="Times New Roman"/>
          <w:lang w:eastAsia="zh-CN"/>
        </w:rPr>
        <w:t>“</w:t>
      </w:r>
      <w:r>
        <w:rPr>
          <w:rFonts w:hint="default" w:ascii="Times New Roman" w:hAnsi="Times New Roman" w:cs="Times New Roman"/>
        </w:rPr>
        <w:t>公司</w:t>
      </w:r>
      <w:r>
        <w:rPr>
          <w:rFonts w:hint="eastAsia" w:ascii="Times New Roman" w:hAnsi="Times New Roman" w:cs="Times New Roman"/>
          <w:lang w:eastAsia="zh-CN"/>
        </w:rPr>
        <w:t>”</w:t>
      </w:r>
      <w:r>
        <w:rPr>
          <w:rFonts w:hint="default" w:ascii="Times New Roman" w:hAnsi="Times New Roman" w:cs="Times New Roman"/>
          <w:lang w:eastAsia="zh-CN"/>
        </w:rPr>
        <w:t>）</w:t>
      </w:r>
      <w:r>
        <w:rPr>
          <w:rFonts w:hint="default" w:ascii="Times New Roman" w:hAnsi="Times New Roman" w:cs="Times New Roman"/>
        </w:rPr>
        <w:t>是新疆中泰</w:t>
      </w:r>
      <w:r>
        <w:rPr>
          <w:rFonts w:hint="default" w:ascii="Times New Roman" w:hAnsi="Times New Roman" w:cs="Times New Roman"/>
          <w:lang w:eastAsia="zh-CN"/>
        </w:rPr>
        <w:t>（</w:t>
      </w:r>
      <w:r>
        <w:rPr>
          <w:rFonts w:hint="default" w:ascii="Times New Roman" w:hAnsi="Times New Roman" w:cs="Times New Roman"/>
        </w:rPr>
        <w:t>集团</w:t>
      </w:r>
      <w:r>
        <w:rPr>
          <w:rFonts w:hint="default" w:ascii="Times New Roman" w:hAnsi="Times New Roman" w:cs="Times New Roman"/>
          <w:lang w:eastAsia="zh-CN"/>
        </w:rPr>
        <w:t>）</w:t>
      </w:r>
      <w:r>
        <w:rPr>
          <w:rFonts w:hint="default" w:ascii="Times New Roman" w:hAnsi="Times New Roman" w:cs="Times New Roman"/>
        </w:rPr>
        <w:t>有限责任公司的全资子公司，重组前为原新疆博湖苇业股份有限公司。博湖苇业曾为新疆最大的造纸企业，2010年根据巴州党委、州人民政府关</w:t>
      </w:r>
      <w:bookmarkStart w:id="187" w:name="_GoBack"/>
      <w:bookmarkEnd w:id="187"/>
      <w:r>
        <w:rPr>
          <w:rFonts w:hint="default" w:ascii="Times New Roman" w:hAnsi="Times New Roman" w:cs="Times New Roman"/>
        </w:rPr>
        <w:t>于</w:t>
      </w:r>
      <w:r>
        <w:rPr>
          <w:rFonts w:hint="eastAsia" w:ascii="Times New Roman" w:hAnsi="Times New Roman" w:cs="Times New Roman"/>
          <w:lang w:eastAsia="zh-CN"/>
        </w:rPr>
        <w:t>“</w:t>
      </w:r>
      <w:r>
        <w:rPr>
          <w:rFonts w:hint="default" w:ascii="Times New Roman" w:hAnsi="Times New Roman" w:cs="Times New Roman"/>
        </w:rPr>
        <w:t>近期治理，远期搬迁</w:t>
      </w:r>
      <w:r>
        <w:rPr>
          <w:rFonts w:hint="eastAsia" w:ascii="Times New Roman" w:hAnsi="Times New Roman" w:cs="Times New Roman"/>
          <w:lang w:eastAsia="zh-CN"/>
        </w:rPr>
        <w:t>”</w:t>
      </w:r>
      <w:r>
        <w:rPr>
          <w:rFonts w:hint="default" w:ascii="Times New Roman" w:hAnsi="Times New Roman" w:cs="Times New Roman"/>
        </w:rPr>
        <w:t>的指示开始实施搬迁工程。2010年8月，迁建工程环评取得新疆维吾尔自治区环境保护厅批复</w:t>
      </w:r>
      <w:r>
        <w:rPr>
          <w:rFonts w:hint="default" w:ascii="Times New Roman" w:hAnsi="Times New Roman" w:cs="Times New Roman"/>
          <w:lang w:eastAsia="zh-CN"/>
        </w:rPr>
        <w:t>（</w:t>
      </w:r>
      <w:r>
        <w:rPr>
          <w:rFonts w:hint="default" w:ascii="Times New Roman" w:hAnsi="Times New Roman" w:cs="Times New Roman"/>
        </w:rPr>
        <w:t>新环评函[2010]496号</w:t>
      </w:r>
      <w:r>
        <w:rPr>
          <w:rFonts w:hint="default" w:ascii="Times New Roman" w:hAnsi="Times New Roman" w:cs="Times New Roman"/>
          <w:lang w:eastAsia="zh-CN"/>
        </w:rPr>
        <w:t>）</w:t>
      </w:r>
      <w:r>
        <w:rPr>
          <w:rFonts w:hint="default" w:ascii="Times New Roman" w:hAnsi="Times New Roman" w:cs="Times New Roman"/>
        </w:rPr>
        <w:t>。迁建工程新址于2012年5月开工建设，2013年10月完工。2017年1月25日新疆维吾尔自治区巴音郭楞蒙古自治州中级人民法院下达民事裁定书裁定新疆博湖苇业股份有限公司破产。经一系列法定程序，中泰集团结合自身发展战略，决定对原博湖苇业实施资产重组，于2017年8月投资注册成立新疆中泰兴苇生物科技有限公司。</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2018年9月12日，自治区经信委</w:t>
      </w:r>
      <w:r>
        <w:rPr>
          <w:rFonts w:hint="default" w:ascii="Times New Roman" w:hAnsi="Times New Roman" w:cs="Times New Roman"/>
          <w:lang w:eastAsia="zh-CN"/>
        </w:rPr>
        <w:t>（</w:t>
      </w:r>
      <w:r>
        <w:rPr>
          <w:rFonts w:hint="default" w:ascii="Times New Roman" w:hAnsi="Times New Roman" w:cs="Times New Roman"/>
        </w:rPr>
        <w:t>自治区国防科工办</w:t>
      </w:r>
      <w:r>
        <w:rPr>
          <w:rFonts w:hint="default" w:ascii="Times New Roman" w:hAnsi="Times New Roman" w:cs="Times New Roman"/>
          <w:lang w:eastAsia="zh-CN"/>
        </w:rPr>
        <w:t>）</w:t>
      </w:r>
      <w:r>
        <w:rPr>
          <w:rFonts w:hint="default" w:ascii="Times New Roman" w:hAnsi="Times New Roman" w:cs="Times New Roman"/>
        </w:rPr>
        <w:t>以</w:t>
      </w:r>
      <w:r>
        <w:rPr>
          <w:rFonts w:hint="eastAsia" w:ascii="Times New Roman" w:hAnsi="Times New Roman" w:cs="Times New Roman"/>
          <w:lang w:eastAsia="zh-CN"/>
        </w:rPr>
        <w:t>“</w:t>
      </w:r>
      <w:r>
        <w:rPr>
          <w:rFonts w:hint="default" w:ascii="Times New Roman" w:hAnsi="Times New Roman" w:cs="Times New Roman"/>
        </w:rPr>
        <w:t>新经信规划〔2018〕515号</w:t>
      </w:r>
      <w:r>
        <w:rPr>
          <w:rFonts w:hint="eastAsia" w:ascii="Times New Roman" w:hAnsi="Times New Roman" w:cs="Times New Roman"/>
          <w:lang w:eastAsia="zh-CN"/>
        </w:rPr>
        <w:t>”</w:t>
      </w:r>
      <w:r>
        <w:rPr>
          <w:rFonts w:hint="default" w:ascii="Times New Roman" w:hAnsi="Times New Roman" w:cs="Times New Roman"/>
        </w:rPr>
        <w:t>，批复原博湖苇业股份有限公司日产300吨漂白苇浆扩建工程项目变更项目主体，项目主体变更为新疆中泰兴苇生物科技有限公司。2018年3月，中泰兴苇进驻厂区，历经约8个月时间，完成</w:t>
      </w:r>
      <w:r>
        <w:rPr>
          <w:rFonts w:hint="eastAsia" w:ascii="Times New Roman" w:hAnsi="Times New Roman" w:cs="Times New Roman"/>
          <w:lang w:eastAsia="zh-CN"/>
        </w:rPr>
        <w:t>“</w:t>
      </w:r>
      <w:r>
        <w:rPr>
          <w:rFonts w:hint="default" w:ascii="Times New Roman" w:hAnsi="Times New Roman" w:cs="Times New Roman"/>
        </w:rPr>
        <w:t>装置检维修、技措技改、老厂拆迁</w:t>
      </w:r>
      <w:r>
        <w:rPr>
          <w:rFonts w:hint="eastAsia" w:ascii="Times New Roman" w:hAnsi="Times New Roman" w:cs="Times New Roman"/>
          <w:lang w:eastAsia="zh-CN"/>
        </w:rPr>
        <w:t>”</w:t>
      </w:r>
      <w:r>
        <w:rPr>
          <w:rFonts w:hint="default" w:ascii="Times New Roman" w:hAnsi="Times New Roman" w:cs="Times New Roman"/>
        </w:rPr>
        <w:t>三大攻坚任务，成功实现装置复产，于2018年10月开机调试，二氧化氯车间、漂白工段厂房设备均建成，但未使用。</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2018年，中泰兴苇实现日产300吨苇浆工程复产后，为满足重点区域大气污染物特别排放限值新标准要求，对现有130t/h锅炉实行了</w:t>
      </w:r>
      <w:r>
        <w:rPr>
          <w:rFonts w:hint="eastAsia" w:ascii="Times New Roman" w:hAnsi="Times New Roman" w:cs="Times New Roman"/>
          <w:lang w:eastAsia="zh-CN"/>
        </w:rPr>
        <w:t>“</w:t>
      </w:r>
      <w:r>
        <w:rPr>
          <w:rFonts w:hint="default" w:ascii="Times New Roman" w:hAnsi="Times New Roman" w:cs="Times New Roman"/>
        </w:rPr>
        <w:t>以新带老</w:t>
      </w:r>
      <w:r>
        <w:rPr>
          <w:rFonts w:hint="eastAsia" w:ascii="Times New Roman" w:hAnsi="Times New Roman" w:cs="Times New Roman"/>
          <w:lang w:eastAsia="zh-CN"/>
        </w:rPr>
        <w:t>”</w:t>
      </w:r>
      <w:r>
        <w:rPr>
          <w:rFonts w:hint="default" w:ascii="Times New Roman" w:hAnsi="Times New Roman" w:cs="Times New Roman"/>
        </w:rPr>
        <w:t>脱硫脱硝技术改造，技改内容包括脱硫脱硝系统改造，建设55m高烟囱等。2018年8月，取得巴州环境保护局环评批复</w:t>
      </w:r>
      <w:r>
        <w:rPr>
          <w:rFonts w:hint="default" w:ascii="Times New Roman" w:hAnsi="Times New Roman" w:cs="Times New Roman"/>
          <w:lang w:eastAsia="zh-CN"/>
        </w:rPr>
        <w:t>（</w:t>
      </w:r>
      <w:r>
        <w:rPr>
          <w:rFonts w:hint="default" w:ascii="Times New Roman" w:hAnsi="Times New Roman" w:cs="Times New Roman"/>
        </w:rPr>
        <w:t>巴环评价函[2018]180号</w:t>
      </w:r>
      <w:r>
        <w:rPr>
          <w:rFonts w:hint="default" w:ascii="Times New Roman" w:hAnsi="Times New Roman" w:cs="Times New Roman"/>
          <w:lang w:eastAsia="zh-CN"/>
        </w:rPr>
        <w:t>）</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lang w:eastAsia="zh-CN"/>
        </w:rPr>
      </w:pPr>
      <w:r>
        <w:rPr>
          <w:rFonts w:hint="default" w:ascii="Times New Roman" w:hAnsi="Times New Roman" w:cs="Times New Roman"/>
        </w:rPr>
        <w:t>2019年8月，新疆中泰兴苇生物科技有限公司委托新疆天合环境技术咨询有限公司对</w:t>
      </w:r>
      <w:r>
        <w:rPr>
          <w:rFonts w:hint="eastAsia" w:ascii="Times New Roman" w:hAnsi="Times New Roman" w:cs="Times New Roman"/>
          <w:lang w:eastAsia="zh-CN"/>
        </w:rPr>
        <w:t>“</w:t>
      </w:r>
      <w:r>
        <w:rPr>
          <w:rFonts w:hint="default" w:ascii="Times New Roman" w:hAnsi="Times New Roman" w:cs="Times New Roman"/>
        </w:rPr>
        <w:t>日产300吨漂白苇浆复产技改工程</w:t>
      </w:r>
      <w:r>
        <w:rPr>
          <w:rFonts w:hint="default" w:ascii="Times New Roman" w:hAnsi="Times New Roman" w:cs="Times New Roman"/>
          <w:lang w:eastAsia="zh-CN"/>
        </w:rPr>
        <w:t>（</w:t>
      </w:r>
      <w:r>
        <w:rPr>
          <w:rFonts w:hint="default" w:ascii="Times New Roman" w:hAnsi="Times New Roman" w:cs="Times New Roman"/>
        </w:rPr>
        <w:t>不含漂白相关工段</w:t>
      </w:r>
      <w:r>
        <w:rPr>
          <w:rFonts w:hint="default" w:ascii="Times New Roman" w:hAnsi="Times New Roman" w:cs="Times New Roman"/>
          <w:lang w:eastAsia="zh-CN"/>
        </w:rPr>
        <w:t>）</w:t>
      </w:r>
      <w:r>
        <w:rPr>
          <w:rFonts w:hint="eastAsia" w:ascii="Times New Roman" w:hAnsi="Times New Roman" w:cs="Times New Roman"/>
          <w:lang w:eastAsia="zh-CN"/>
        </w:rPr>
        <w:t>”</w:t>
      </w:r>
      <w:r>
        <w:rPr>
          <w:rFonts w:hint="default" w:ascii="Times New Roman" w:hAnsi="Times New Roman" w:cs="Times New Roman"/>
        </w:rPr>
        <w:t>开展了竣工环境保护验收工作，并于2020年7月在巴州生态环境局备案</w:t>
      </w:r>
      <w:r>
        <w:rPr>
          <w:rFonts w:hint="default" w:ascii="Times New Roman" w:hAnsi="Times New Roman" w:cs="Times New Roman"/>
          <w:lang w:eastAsia="zh-CN"/>
        </w:rPr>
        <w:t>（</w:t>
      </w:r>
      <w:r>
        <w:rPr>
          <w:rFonts w:hint="default" w:ascii="Times New Roman" w:hAnsi="Times New Roman" w:cs="Times New Roman"/>
        </w:rPr>
        <w:t>备案号第2020103号</w:t>
      </w:r>
      <w:r>
        <w:rPr>
          <w:rFonts w:hint="default" w:ascii="Times New Roman" w:hAnsi="Times New Roman" w:cs="Times New Roman"/>
          <w:lang w:eastAsia="zh-CN"/>
        </w:rPr>
        <w:t>）</w:t>
      </w:r>
      <w:r>
        <w:rPr>
          <w:rFonts w:hint="default" w:ascii="Times New Roman" w:hAnsi="Times New Roman" w:cs="Times New Roman"/>
        </w:rPr>
        <w:t>。2020年9月，</w:t>
      </w:r>
      <w:r>
        <w:rPr>
          <w:rFonts w:hint="eastAsia" w:ascii="Times New Roman" w:hAnsi="Times New Roman" w:cs="Times New Roman"/>
          <w:lang w:eastAsia="zh-CN"/>
        </w:rPr>
        <w:t>“</w:t>
      </w:r>
      <w:r>
        <w:rPr>
          <w:rFonts w:hint="default" w:ascii="Times New Roman" w:hAnsi="Times New Roman" w:cs="Times New Roman"/>
        </w:rPr>
        <w:t>130t/h锅炉脱硫脱硝改造技措项目</w:t>
      </w:r>
      <w:r>
        <w:rPr>
          <w:rFonts w:hint="eastAsia" w:ascii="Times New Roman" w:hAnsi="Times New Roman" w:cs="Times New Roman"/>
          <w:lang w:eastAsia="zh-CN"/>
        </w:rPr>
        <w:t>”</w:t>
      </w:r>
      <w:r>
        <w:rPr>
          <w:rFonts w:hint="default" w:ascii="Times New Roman" w:hAnsi="Times New Roman" w:cs="Times New Roman"/>
        </w:rPr>
        <w:t>通过竣工环境保护验收，于2021年3月在巴州生态环境局备案</w:t>
      </w:r>
      <w:r>
        <w:rPr>
          <w:rFonts w:hint="default" w:ascii="Times New Roman" w:hAnsi="Times New Roman" w:cs="Times New Roman"/>
          <w:lang w:eastAsia="zh-CN"/>
        </w:rPr>
        <w:t>（</w:t>
      </w:r>
      <w:r>
        <w:rPr>
          <w:rFonts w:hint="default" w:ascii="Times New Roman" w:hAnsi="Times New Roman" w:cs="Times New Roman"/>
        </w:rPr>
        <w:t>备案号第2021037号</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lang w:eastAsia="zh-CN"/>
        </w:rPr>
      </w:pPr>
      <w:r>
        <w:rPr>
          <w:rFonts w:hint="default" w:ascii="Times New Roman" w:hAnsi="Times New Roman" w:cs="Times New Roman"/>
        </w:rPr>
        <w:t>20</w:t>
      </w:r>
      <w:r>
        <w:rPr>
          <w:rFonts w:hint="default" w:ascii="Times New Roman" w:hAnsi="Times New Roman" w:cs="Times New Roman"/>
          <w:lang w:val="en-US" w:eastAsia="zh-CN"/>
        </w:rPr>
        <w:t>21</w:t>
      </w:r>
      <w:r>
        <w:rPr>
          <w:rFonts w:hint="default" w:ascii="Times New Roman" w:hAnsi="Times New Roman" w:cs="Times New Roman"/>
        </w:rPr>
        <w:t>年</w:t>
      </w:r>
      <w:r>
        <w:rPr>
          <w:rFonts w:hint="default" w:ascii="Times New Roman" w:hAnsi="Times New Roman" w:cs="Times New Roman"/>
          <w:lang w:val="en-US" w:eastAsia="zh-CN"/>
        </w:rPr>
        <w:t>5</w:t>
      </w:r>
      <w:r>
        <w:rPr>
          <w:rFonts w:hint="default" w:ascii="Times New Roman" w:hAnsi="Times New Roman" w:cs="Times New Roman"/>
        </w:rPr>
        <w:t>月，新疆中泰兴苇生物科技有限公司委托新疆化工设计研究院有限责任公司对</w:t>
      </w:r>
      <w:r>
        <w:rPr>
          <w:rFonts w:hint="eastAsia" w:ascii="Times New Roman" w:hAnsi="Times New Roman" w:cs="Times New Roman"/>
          <w:lang w:eastAsia="zh-CN"/>
        </w:rPr>
        <w:t>“</w:t>
      </w:r>
      <w:r>
        <w:rPr>
          <w:rFonts w:hint="default" w:ascii="Times New Roman" w:hAnsi="Times New Roman" w:cs="Times New Roman"/>
          <w:lang w:val="en-US" w:eastAsia="zh-CN"/>
        </w:rPr>
        <w:t>关于</w:t>
      </w:r>
      <w:r>
        <w:rPr>
          <w:rFonts w:hint="default" w:ascii="Times New Roman" w:hAnsi="Times New Roman" w:cs="Times New Roman"/>
          <w:lang w:eastAsia="zh-CN"/>
        </w:rPr>
        <w:t>新疆中泰兴苇生物科技有限公司日产125吨生活用纸产品升级改造项目</w:t>
      </w:r>
      <w:r>
        <w:rPr>
          <w:rFonts w:hint="default" w:ascii="Times New Roman" w:hAnsi="Times New Roman" w:cs="Times New Roman"/>
        </w:rPr>
        <w:t>环境影响报告书的批复</w:t>
      </w:r>
      <w:r>
        <w:rPr>
          <w:rFonts w:hint="eastAsia" w:ascii="Times New Roman" w:hAnsi="Times New Roman" w:cs="Times New Roman"/>
          <w:lang w:eastAsia="zh-CN"/>
        </w:rPr>
        <w:t>”</w:t>
      </w:r>
      <w:r>
        <w:rPr>
          <w:rFonts w:hint="default" w:ascii="Times New Roman" w:hAnsi="Times New Roman" w:cs="Times New Roman"/>
          <w:lang w:eastAsia="zh-CN"/>
        </w:rPr>
        <w:t>（</w:t>
      </w:r>
      <w:r>
        <w:rPr>
          <w:rFonts w:hint="default" w:ascii="Times New Roman" w:hAnsi="Times New Roman" w:cs="Times New Roman"/>
        </w:rPr>
        <w:t>新环审〔2021〕84号</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根据《中华人民共和国环境影响评价法》、《中华人民共和国环境影响评价法》、中华人民共和国国务院令第682号《建设项目环境保护管理条例》的有关规定，</w:t>
      </w:r>
      <w:r>
        <w:rPr>
          <w:rFonts w:hint="default" w:ascii="Times New Roman" w:hAnsi="Times New Roman" w:cs="Times New Roman"/>
          <w:szCs w:val="24"/>
          <w:lang w:eastAsia="zh-CN"/>
        </w:rPr>
        <w:t>新疆中泰兴苇生物科技有限公司</w:t>
      </w:r>
      <w:r>
        <w:rPr>
          <w:rFonts w:hint="default" w:ascii="Times New Roman" w:hAnsi="Times New Roman" w:cs="Times New Roman"/>
        </w:rPr>
        <w:t>于202</w:t>
      </w:r>
      <w:r>
        <w:rPr>
          <w:rFonts w:hint="default" w:ascii="Times New Roman" w:hAnsi="Times New Roman" w:cs="Times New Roman"/>
          <w:lang w:val="en-US" w:eastAsia="zh-CN"/>
        </w:rPr>
        <w:t>3</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月委托新疆化工设计研究院有限责任公司编制了《</w:t>
      </w:r>
      <w:r>
        <w:rPr>
          <w:rFonts w:hint="default" w:ascii="Times New Roman" w:hAnsi="Times New Roman" w:cs="Times New Roman"/>
          <w:lang w:eastAsia="zh-CN"/>
        </w:rPr>
        <w:t>新疆中泰兴苇生物科技有限公司日产125吨生活用纸产品升级改造项目</w:t>
      </w:r>
      <w:r>
        <w:rPr>
          <w:rFonts w:hint="default" w:ascii="Times New Roman" w:hAnsi="Times New Roman" w:cs="Times New Roman"/>
        </w:rPr>
        <w:t>环境</w:t>
      </w:r>
      <w:r>
        <w:rPr>
          <w:rFonts w:hint="default" w:ascii="Times New Roman" w:hAnsi="Times New Roman" w:cs="Times New Roman"/>
          <w:color w:val="auto"/>
          <w:highlight w:val="none"/>
        </w:rPr>
        <w:t>影响报告书》，</w:t>
      </w:r>
      <w:r>
        <w:rPr>
          <w:rFonts w:hint="default" w:ascii="Times New Roman" w:hAnsi="Times New Roman" w:cs="Times New Roman"/>
          <w:color w:val="auto"/>
          <w:highlight w:val="none"/>
          <w:lang w:eastAsia="zh-CN"/>
        </w:rPr>
        <w:t>202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年</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月</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lang w:eastAsia="zh-CN"/>
        </w:rPr>
        <w:t>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新疆维吾尔生态环境厅</w:t>
      </w:r>
      <w:r>
        <w:rPr>
          <w:rFonts w:hint="default" w:ascii="Times New Roman" w:hAnsi="Times New Roman" w:cs="Times New Roman"/>
          <w:color w:val="auto"/>
          <w:highlight w:val="none"/>
        </w:rPr>
        <w:t>以《</w:t>
      </w:r>
      <w:r>
        <w:rPr>
          <w:rFonts w:hint="default" w:ascii="Times New Roman" w:hAnsi="Times New Roman" w:cs="Times New Roman"/>
          <w:color w:val="auto"/>
          <w:highlight w:val="none"/>
          <w:lang w:eastAsia="zh-CN"/>
        </w:rPr>
        <w:t>新疆中泰兴苇生物科技有限公司日产125吨生活用纸产品升级改造项目</w:t>
      </w:r>
      <w:r>
        <w:rPr>
          <w:rFonts w:hint="default" w:ascii="Times New Roman" w:hAnsi="Times New Roman" w:cs="Times New Roman"/>
          <w:color w:val="auto"/>
          <w:highlight w:val="none"/>
        </w:rPr>
        <w:t>环境影响报告书的批复》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新环审〔2021〕84号）予</w:t>
      </w:r>
      <w:r>
        <w:rPr>
          <w:rFonts w:hint="default" w:ascii="Times New Roman" w:hAnsi="Times New Roman" w:cs="Times New Roman"/>
        </w:rPr>
        <w:t>以批复。</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本次验收范围为：</w:t>
      </w:r>
      <w:r>
        <w:rPr>
          <w:rFonts w:hint="default" w:ascii="Times New Roman" w:hAnsi="Times New Roman" w:cs="Times New Roman"/>
          <w:lang w:eastAsia="zh-CN"/>
        </w:rPr>
        <w:t>新疆中泰兴苇生物科技有限公司日产125吨生活用纸产品升级改造项目，</w:t>
      </w:r>
      <w:r>
        <w:rPr>
          <w:rFonts w:hint="default" w:ascii="Times New Roman" w:hAnsi="Times New Roman" w:cs="Times New Roman"/>
        </w:rPr>
        <w:t>新建日产125吨生活用纸生产线和成品库，其中日产25吨生活用纸生产车间利用现有检修厂房进行改造，100吨生活用纸生产车间为新建。</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根据国务院682号令《国务院关于修改〈建设项目环境保护管理条例〉的决定》、国务院办公厅《关于加强环境监管执法的通知》</w:t>
      </w:r>
      <w:r>
        <w:rPr>
          <w:rFonts w:hint="default" w:ascii="Times New Roman" w:hAnsi="Times New Roman" w:cs="Times New Roman"/>
          <w:lang w:eastAsia="zh-CN"/>
        </w:rPr>
        <w:t>（</w:t>
      </w:r>
      <w:r>
        <w:rPr>
          <w:rFonts w:hint="default" w:ascii="Times New Roman" w:hAnsi="Times New Roman" w:cs="Times New Roman"/>
        </w:rPr>
        <w:t>国办发〔2014〕56号）、国家环境保护总局《关于建设项目环境保护设施竣工验收监测管理有关问题的通知》</w:t>
      </w:r>
      <w:r>
        <w:rPr>
          <w:rFonts w:hint="default" w:ascii="Times New Roman" w:hAnsi="Times New Roman" w:cs="Times New Roman"/>
          <w:lang w:eastAsia="zh-CN"/>
        </w:rPr>
        <w:t>（</w:t>
      </w:r>
      <w:r>
        <w:rPr>
          <w:rFonts w:hint="default" w:ascii="Times New Roman" w:hAnsi="Times New Roman" w:cs="Times New Roman"/>
        </w:rPr>
        <w:t>环发〔2000〕38号）及关于发布《建设项目竣工环境保护验收暂行办法》的公告</w:t>
      </w:r>
      <w:r>
        <w:rPr>
          <w:rFonts w:hint="default" w:ascii="Times New Roman" w:hAnsi="Times New Roman" w:cs="Times New Roman"/>
          <w:lang w:eastAsia="zh-CN"/>
        </w:rPr>
        <w:t>（</w:t>
      </w:r>
      <w:r>
        <w:rPr>
          <w:rFonts w:hint="default" w:ascii="Times New Roman" w:hAnsi="Times New Roman" w:cs="Times New Roman"/>
        </w:rPr>
        <w:t>国环规环评[2017]4号）的要求，受</w:t>
      </w:r>
      <w:r>
        <w:rPr>
          <w:rFonts w:hint="default" w:ascii="Times New Roman" w:hAnsi="Times New Roman" w:cs="Times New Roman"/>
          <w:szCs w:val="24"/>
          <w:lang w:eastAsia="zh-CN"/>
        </w:rPr>
        <w:t>新疆中泰兴苇生物科技有限公司</w:t>
      </w:r>
      <w:r>
        <w:rPr>
          <w:rFonts w:hint="default" w:ascii="Times New Roman" w:hAnsi="Times New Roman" w:cs="Times New Roman"/>
        </w:rPr>
        <w:t>委托，</w:t>
      </w:r>
      <w:r>
        <w:rPr>
          <w:rFonts w:hint="default" w:ascii="Times New Roman" w:hAnsi="Times New Roman" w:cs="Times New Roman"/>
          <w:lang w:eastAsia="zh-CN"/>
        </w:rPr>
        <w:t>新疆中测环保科技有限公司</w:t>
      </w:r>
      <w:r>
        <w:rPr>
          <w:rFonts w:hint="default" w:ascii="Times New Roman" w:hAnsi="Times New Roman" w:cs="Times New Roman"/>
        </w:rPr>
        <w:t>承担了本项目竣工环境保护验收监测工作。在承接该项目后，公司通过相关技术资料收集和现场踏勘，编写了《</w:t>
      </w:r>
      <w:r>
        <w:rPr>
          <w:rFonts w:hint="default" w:ascii="Times New Roman" w:hAnsi="Times New Roman" w:cs="Times New Roman"/>
          <w:lang w:eastAsia="zh-CN"/>
        </w:rPr>
        <w:t>新疆中泰兴苇生物科技有限公司日产125吨生活用纸产品升级改造项目</w:t>
      </w:r>
      <w:r>
        <w:rPr>
          <w:rFonts w:hint="default" w:ascii="Times New Roman" w:hAnsi="Times New Roman" w:cs="Times New Roman"/>
        </w:rPr>
        <w:t>验收监测方案》。依据该《方案》内容，</w:t>
      </w:r>
      <w:r>
        <w:rPr>
          <w:rFonts w:hint="default" w:ascii="Times New Roman" w:hAnsi="Times New Roman" w:cs="Times New Roman"/>
          <w:lang w:eastAsia="zh-CN"/>
        </w:rPr>
        <w:t>新疆中测测试有限责任公司</w:t>
      </w:r>
      <w:r>
        <w:rPr>
          <w:rFonts w:hint="default" w:ascii="Times New Roman" w:hAnsi="Times New Roman" w:cs="Times New Roman"/>
        </w:rPr>
        <w:t>派工作人员于202</w:t>
      </w:r>
      <w:r>
        <w:rPr>
          <w:rFonts w:hint="default" w:ascii="Times New Roman" w:hAnsi="Times New Roman" w:cs="Times New Roman"/>
          <w:lang w:val="en-US" w:eastAsia="zh-CN"/>
        </w:rPr>
        <w:t>3</w:t>
      </w:r>
      <w:r>
        <w:rPr>
          <w:rFonts w:hint="default" w:ascii="Times New Roman" w:hAnsi="Times New Roman" w:cs="Times New Roman"/>
        </w:rPr>
        <w:t>年</w:t>
      </w:r>
      <w:r>
        <w:rPr>
          <w:rFonts w:hint="default" w:ascii="Times New Roman" w:hAnsi="Times New Roman" w:cs="Times New Roman"/>
          <w:lang w:val="en-US" w:eastAsia="zh-CN"/>
        </w:rPr>
        <w:t>2</w:t>
      </w:r>
      <w:r>
        <w:rPr>
          <w:rFonts w:hint="default" w:ascii="Times New Roman" w:hAnsi="Times New Roman" w:cs="Times New Roman"/>
        </w:rPr>
        <w:t>月</w:t>
      </w:r>
      <w:r>
        <w:rPr>
          <w:rFonts w:hint="default" w:ascii="Times New Roman" w:hAnsi="Times New Roman" w:cs="Times New Roman"/>
          <w:lang w:val="en-US" w:eastAsia="zh-CN"/>
        </w:rPr>
        <w:t>16</w:t>
      </w:r>
      <w:r>
        <w:rPr>
          <w:rFonts w:hint="default" w:ascii="Times New Roman" w:hAnsi="Times New Roman" w:cs="Times New Roman"/>
        </w:rPr>
        <w:t>～202</w:t>
      </w:r>
      <w:r>
        <w:rPr>
          <w:rFonts w:hint="default" w:ascii="Times New Roman" w:hAnsi="Times New Roman" w:cs="Times New Roman"/>
          <w:lang w:val="en-US" w:eastAsia="zh-CN"/>
        </w:rPr>
        <w:t>3</w:t>
      </w:r>
      <w:r>
        <w:rPr>
          <w:rFonts w:hint="default" w:ascii="Times New Roman" w:hAnsi="Times New Roman" w:cs="Times New Roman"/>
        </w:rPr>
        <w:t>年</w:t>
      </w:r>
      <w:r>
        <w:rPr>
          <w:rFonts w:hint="default" w:ascii="Times New Roman" w:hAnsi="Times New Roman" w:cs="Times New Roman"/>
          <w:lang w:val="en-US" w:eastAsia="zh-CN"/>
        </w:rPr>
        <w:t>2</w:t>
      </w:r>
      <w:r>
        <w:rPr>
          <w:rFonts w:hint="default" w:ascii="Times New Roman" w:hAnsi="Times New Roman" w:cs="Times New Roman"/>
        </w:rPr>
        <w:t>月</w:t>
      </w:r>
      <w:r>
        <w:rPr>
          <w:rFonts w:hint="default" w:ascii="Times New Roman" w:hAnsi="Times New Roman" w:cs="Times New Roman"/>
          <w:lang w:val="en-US" w:eastAsia="zh-CN"/>
        </w:rPr>
        <w:t>17</w:t>
      </w:r>
      <w:r>
        <w:rPr>
          <w:rFonts w:hint="default" w:ascii="Times New Roman" w:hAnsi="Times New Roman" w:cs="Times New Roman"/>
        </w:rPr>
        <w:t>日对该项目进行了现场监测及调查。依据新疆化工设计研究院有限责任公司编制的《</w:t>
      </w:r>
      <w:r>
        <w:rPr>
          <w:rFonts w:hint="default" w:ascii="Times New Roman" w:hAnsi="Times New Roman" w:cs="Times New Roman"/>
          <w:lang w:eastAsia="zh-CN"/>
        </w:rPr>
        <w:t>新疆中泰兴苇生物科技有限公司日产125吨生活用纸产品升级改造项目</w:t>
      </w:r>
      <w:r>
        <w:rPr>
          <w:rFonts w:hint="default" w:ascii="Times New Roman" w:hAnsi="Times New Roman" w:cs="Times New Roman"/>
        </w:rPr>
        <w:t>环境影响报告书》和</w:t>
      </w:r>
      <w:r>
        <w:rPr>
          <w:rFonts w:hint="default" w:ascii="Times New Roman" w:hAnsi="Times New Roman" w:cs="Times New Roman"/>
          <w:lang w:val="en-US" w:eastAsia="zh-CN"/>
        </w:rPr>
        <w:t>新疆维吾尔自治区生态环境厅</w:t>
      </w:r>
      <w:r>
        <w:rPr>
          <w:rFonts w:hint="default" w:ascii="Times New Roman" w:hAnsi="Times New Roman" w:cs="Times New Roman"/>
        </w:rPr>
        <w:t>《</w:t>
      </w:r>
      <w:r>
        <w:rPr>
          <w:rFonts w:hint="default" w:ascii="Times New Roman" w:hAnsi="Times New Roman" w:cs="Times New Roman"/>
          <w:lang w:eastAsia="zh-CN"/>
        </w:rPr>
        <w:t>新疆中泰兴苇生物科技有限公司日产125吨生活用纸产品升级改造项目</w:t>
      </w:r>
      <w:r>
        <w:rPr>
          <w:rFonts w:hint="default" w:ascii="Times New Roman" w:hAnsi="Times New Roman" w:cs="Times New Roman"/>
        </w:rPr>
        <w:t>环境影响报告书的批复》</w:t>
      </w:r>
      <w:r>
        <w:rPr>
          <w:rFonts w:hint="default" w:ascii="Times New Roman" w:hAnsi="Times New Roman" w:cs="Times New Roman"/>
          <w:lang w:eastAsia="zh-CN"/>
        </w:rPr>
        <w:t>（新环审〔2021〕84号</w:t>
      </w:r>
      <w:r>
        <w:rPr>
          <w:rFonts w:hint="default" w:ascii="Times New Roman" w:hAnsi="Times New Roman" w:cs="Times New Roman"/>
        </w:rPr>
        <w:t>），编制完成了本项目竣工环境保护验收监测报告</w:t>
      </w:r>
      <w:r>
        <w:rPr>
          <w:rFonts w:hint="default" w:ascii="Times New Roman" w:hAnsi="Times New Roman" w:cs="Times New Roman"/>
          <w:lang w:val="en-US" w:eastAsia="zh-CN"/>
        </w:rPr>
        <w:t>书</w:t>
      </w:r>
      <w:r>
        <w:rPr>
          <w:rFonts w:hint="default" w:ascii="Times New Roman" w:hAnsi="Times New Roman" w:cs="Times New Roman"/>
        </w:rPr>
        <w:t>。</w:t>
      </w:r>
    </w:p>
    <w:p>
      <w:pPr>
        <w:pStyle w:val="2"/>
        <w:rPr>
          <w:rFonts w:hint="eastAsia" w:eastAsia="宋体" w:cs="Times New Roman"/>
          <w:lang w:val="en-US" w:eastAsia="zh-CN"/>
        </w:rPr>
      </w:pPr>
      <w:bookmarkStart w:id="1" w:name="_Toc9503"/>
      <w:r>
        <w:rPr>
          <w:rFonts w:cs="Times New Roman"/>
        </w:rPr>
        <w:t>2.验收依据</w:t>
      </w:r>
      <w:bookmarkEnd w:id="1"/>
    </w:p>
    <w:p>
      <w:pPr>
        <w:pStyle w:val="3"/>
        <w:rPr>
          <w:rFonts w:cs="Times New Roman"/>
        </w:rPr>
      </w:pPr>
      <w:bookmarkStart w:id="2" w:name="_Toc11113"/>
      <w:r>
        <w:rPr>
          <w:rFonts w:cs="Times New Roman"/>
        </w:rPr>
        <w:t>2.1建设项目环境保护相关法律、法规和规章制度</w:t>
      </w:r>
      <w:bookmarkEnd w:id="2"/>
    </w:p>
    <w:p>
      <w:pPr>
        <w:pStyle w:val="37"/>
        <w:numPr>
          <w:ilvl w:val="0"/>
          <w:numId w:val="1"/>
        </w:numPr>
        <w:ind w:firstLineChars="0"/>
        <w:rPr>
          <w:rFonts w:cs="Times New Roman"/>
        </w:rPr>
      </w:pPr>
      <w:r>
        <w:rPr>
          <w:rFonts w:cs="Times New Roman"/>
        </w:rPr>
        <w:t>《中华人民共和国环境保护法》</w:t>
      </w:r>
      <w:r>
        <w:rPr>
          <w:rFonts w:hint="eastAsia" w:cs="Times New Roman"/>
          <w:lang w:eastAsia="zh-CN"/>
        </w:rPr>
        <w:t>（</w:t>
      </w:r>
      <w:r>
        <w:rPr>
          <w:rFonts w:cs="Times New Roman"/>
        </w:rPr>
        <w:t>2015年1月1日实施）；</w:t>
      </w:r>
    </w:p>
    <w:p>
      <w:pPr>
        <w:pStyle w:val="37"/>
        <w:numPr>
          <w:ilvl w:val="0"/>
          <w:numId w:val="1"/>
        </w:numPr>
        <w:ind w:firstLineChars="0"/>
        <w:rPr>
          <w:rFonts w:cs="Times New Roman"/>
        </w:rPr>
      </w:pPr>
      <w:r>
        <w:rPr>
          <w:rFonts w:cs="Times New Roman"/>
        </w:rPr>
        <w:t>《中华人民共和国环境影响评价法》</w:t>
      </w:r>
      <w:r>
        <w:rPr>
          <w:rFonts w:hint="eastAsia" w:cs="Times New Roman"/>
          <w:lang w:eastAsia="zh-CN"/>
        </w:rPr>
        <w:t>（</w:t>
      </w:r>
      <w:r>
        <w:rPr>
          <w:rFonts w:cs="Times New Roman"/>
        </w:rPr>
        <w:t>2018年12月29日实施）；</w:t>
      </w:r>
    </w:p>
    <w:p>
      <w:pPr>
        <w:pStyle w:val="37"/>
        <w:numPr>
          <w:ilvl w:val="0"/>
          <w:numId w:val="1"/>
        </w:numPr>
        <w:ind w:firstLineChars="0"/>
        <w:rPr>
          <w:rFonts w:cs="Times New Roman"/>
        </w:rPr>
      </w:pPr>
      <w:r>
        <w:rPr>
          <w:rFonts w:cs="Times New Roman"/>
        </w:rPr>
        <w:t>《中华人民共和国水污染防治法》</w:t>
      </w:r>
      <w:r>
        <w:rPr>
          <w:rFonts w:hint="eastAsia" w:cs="Times New Roman"/>
          <w:lang w:eastAsia="zh-CN"/>
        </w:rPr>
        <w:t>（</w:t>
      </w:r>
      <w:r>
        <w:rPr>
          <w:rFonts w:cs="Times New Roman"/>
        </w:rPr>
        <w:t>2018年1月1日实施）；</w:t>
      </w:r>
    </w:p>
    <w:p>
      <w:pPr>
        <w:pStyle w:val="37"/>
        <w:numPr>
          <w:ilvl w:val="0"/>
          <w:numId w:val="1"/>
        </w:numPr>
        <w:ind w:firstLineChars="0"/>
        <w:rPr>
          <w:rFonts w:cs="Times New Roman"/>
        </w:rPr>
      </w:pPr>
      <w:r>
        <w:rPr>
          <w:rFonts w:cs="Times New Roman"/>
        </w:rPr>
        <w:t>《中华人民共和国大气污染防治法》</w:t>
      </w:r>
      <w:r>
        <w:rPr>
          <w:rFonts w:hint="eastAsia" w:cs="Times New Roman"/>
          <w:lang w:eastAsia="zh-CN"/>
        </w:rPr>
        <w:t>（</w:t>
      </w:r>
      <w:r>
        <w:rPr>
          <w:rFonts w:cs="Times New Roman"/>
        </w:rPr>
        <w:t>2016年1月1日实施）；</w:t>
      </w:r>
    </w:p>
    <w:p>
      <w:pPr>
        <w:pStyle w:val="37"/>
        <w:numPr>
          <w:ilvl w:val="0"/>
          <w:numId w:val="1"/>
        </w:numPr>
        <w:ind w:firstLineChars="0"/>
        <w:rPr>
          <w:rFonts w:cs="Times New Roman"/>
        </w:rPr>
      </w:pPr>
      <w:r>
        <w:rPr>
          <w:rFonts w:cs="Times New Roman"/>
        </w:rPr>
        <w:t>《中华人民共和国噪声污染防治法》</w:t>
      </w:r>
      <w:r>
        <w:rPr>
          <w:rFonts w:hint="eastAsia" w:cs="Times New Roman"/>
          <w:lang w:eastAsia="zh-CN"/>
        </w:rPr>
        <w:t>（</w:t>
      </w:r>
      <w:r>
        <w:rPr>
          <w:rFonts w:cs="Times New Roman"/>
        </w:rPr>
        <w:t>2018年12月29日修订）；</w:t>
      </w:r>
    </w:p>
    <w:p>
      <w:pPr>
        <w:pStyle w:val="37"/>
        <w:numPr>
          <w:ilvl w:val="0"/>
          <w:numId w:val="1"/>
        </w:numPr>
        <w:ind w:firstLineChars="0"/>
        <w:rPr>
          <w:rFonts w:cs="Times New Roman"/>
        </w:rPr>
      </w:pPr>
      <w:r>
        <w:rPr>
          <w:rFonts w:cs="Times New Roman"/>
        </w:rPr>
        <w:t>《中华人民共和国固体废物污染环境防治法》</w:t>
      </w:r>
      <w:r>
        <w:rPr>
          <w:rFonts w:hint="eastAsia" w:cs="Times New Roman"/>
          <w:lang w:eastAsia="zh-CN"/>
        </w:rPr>
        <w:t>（</w:t>
      </w:r>
      <w:r>
        <w:rPr>
          <w:rFonts w:hint="eastAsia" w:cs="Times New Roman"/>
          <w:lang w:val="en-US" w:eastAsia="zh-CN"/>
        </w:rPr>
        <w:t>2020年</w:t>
      </w:r>
      <w:r>
        <w:rPr>
          <w:rFonts w:cs="Times New Roman"/>
        </w:rPr>
        <w:t>修订）；</w:t>
      </w:r>
    </w:p>
    <w:p>
      <w:pPr>
        <w:pStyle w:val="37"/>
        <w:numPr>
          <w:ilvl w:val="0"/>
          <w:numId w:val="1"/>
        </w:numPr>
        <w:ind w:firstLineChars="0"/>
        <w:rPr>
          <w:rFonts w:cs="Times New Roman"/>
        </w:rPr>
      </w:pPr>
      <w:r>
        <w:rPr>
          <w:rFonts w:cs="Times New Roman"/>
        </w:rPr>
        <w:t>《建设项目环境保护管理条例》</w:t>
      </w:r>
      <w:r>
        <w:rPr>
          <w:rFonts w:hint="eastAsia" w:cs="Times New Roman"/>
          <w:lang w:eastAsia="zh-CN"/>
        </w:rPr>
        <w:t>（</w:t>
      </w:r>
      <w:r>
        <w:rPr>
          <w:rFonts w:cs="Times New Roman"/>
        </w:rPr>
        <w:t>2017年7月16日修订）；</w:t>
      </w:r>
    </w:p>
    <w:p>
      <w:pPr>
        <w:pStyle w:val="37"/>
        <w:numPr>
          <w:ilvl w:val="0"/>
          <w:numId w:val="1"/>
        </w:numPr>
        <w:ind w:firstLineChars="0"/>
        <w:rPr>
          <w:rFonts w:cs="Times New Roman"/>
        </w:rPr>
      </w:pPr>
      <w:r>
        <w:rPr>
          <w:rFonts w:cs="Times New Roman"/>
        </w:rPr>
        <w:t>关于发布《建设项目竣工环境保护验收暂行办法》的公告</w:t>
      </w:r>
      <w:r>
        <w:rPr>
          <w:rFonts w:hint="eastAsia" w:cs="Times New Roman"/>
          <w:lang w:eastAsia="zh-CN"/>
        </w:rPr>
        <w:t>（</w:t>
      </w:r>
      <w:r>
        <w:rPr>
          <w:rFonts w:cs="Times New Roman"/>
        </w:rPr>
        <w:t>国环规环评[2017]4号，2017年11月20日）；</w:t>
      </w:r>
    </w:p>
    <w:p>
      <w:pPr>
        <w:pStyle w:val="3"/>
        <w:rPr>
          <w:rFonts w:cs="Times New Roman"/>
        </w:rPr>
      </w:pPr>
      <w:bookmarkStart w:id="3" w:name="_Toc8221"/>
      <w:r>
        <w:rPr>
          <w:rFonts w:cs="Times New Roman"/>
        </w:rPr>
        <w:t>2.2建设项目竣工环境保护验收技术规范</w:t>
      </w:r>
      <w:bookmarkEnd w:id="3"/>
    </w:p>
    <w:p>
      <w:pPr>
        <w:pStyle w:val="37"/>
        <w:numPr>
          <w:ilvl w:val="0"/>
          <w:numId w:val="2"/>
        </w:numPr>
        <w:ind w:firstLineChars="0"/>
        <w:rPr>
          <w:rFonts w:cs="Times New Roman"/>
        </w:rPr>
      </w:pPr>
      <w:r>
        <w:rPr>
          <w:rFonts w:cs="Times New Roman"/>
        </w:rPr>
        <w:t>《建设项目环境影响评价技术导则总纲》</w:t>
      </w:r>
      <w:r>
        <w:rPr>
          <w:rFonts w:hint="eastAsia" w:cs="Times New Roman"/>
          <w:lang w:eastAsia="zh-CN"/>
        </w:rPr>
        <w:t>（</w:t>
      </w:r>
      <w:r>
        <w:rPr>
          <w:rFonts w:cs="Times New Roman"/>
        </w:rPr>
        <w:t>HJ2.1-2016）；</w:t>
      </w:r>
    </w:p>
    <w:p>
      <w:pPr>
        <w:pStyle w:val="37"/>
        <w:numPr>
          <w:ilvl w:val="0"/>
          <w:numId w:val="2"/>
        </w:numPr>
        <w:ind w:firstLineChars="0"/>
        <w:rPr>
          <w:rFonts w:cs="Times New Roman"/>
        </w:rPr>
      </w:pPr>
      <w:r>
        <w:rPr>
          <w:rFonts w:cs="Times New Roman"/>
        </w:rPr>
        <w:t>《环境影响评价技术导则大气环境》</w:t>
      </w:r>
      <w:r>
        <w:rPr>
          <w:rFonts w:hint="eastAsia" w:cs="Times New Roman"/>
          <w:lang w:eastAsia="zh-CN"/>
        </w:rPr>
        <w:t>（</w:t>
      </w:r>
      <w:r>
        <w:rPr>
          <w:rFonts w:cs="Times New Roman"/>
        </w:rPr>
        <w:t>HJ2.2-2019）；</w:t>
      </w:r>
    </w:p>
    <w:p>
      <w:pPr>
        <w:pStyle w:val="37"/>
        <w:numPr>
          <w:ilvl w:val="0"/>
          <w:numId w:val="2"/>
        </w:numPr>
        <w:ind w:firstLineChars="0"/>
        <w:rPr>
          <w:rFonts w:cs="Times New Roman"/>
        </w:rPr>
      </w:pPr>
      <w:r>
        <w:rPr>
          <w:rFonts w:cs="Times New Roman"/>
        </w:rPr>
        <w:t>《环境影响评价技术导则地面水环境》</w:t>
      </w:r>
      <w:r>
        <w:rPr>
          <w:rFonts w:hint="eastAsia" w:cs="Times New Roman"/>
          <w:lang w:eastAsia="zh-CN"/>
        </w:rPr>
        <w:t>（</w:t>
      </w:r>
      <w:r>
        <w:rPr>
          <w:rFonts w:cs="Times New Roman"/>
        </w:rPr>
        <w:t>HJ2.3-2018）；</w:t>
      </w:r>
    </w:p>
    <w:p>
      <w:pPr>
        <w:pStyle w:val="37"/>
        <w:numPr>
          <w:ilvl w:val="0"/>
          <w:numId w:val="2"/>
        </w:numPr>
        <w:ind w:firstLineChars="0"/>
        <w:rPr>
          <w:rFonts w:cs="Times New Roman"/>
        </w:rPr>
      </w:pPr>
      <w:r>
        <w:rPr>
          <w:rFonts w:cs="Times New Roman"/>
        </w:rPr>
        <w:t>《环境影响评价技术导则地下水环境》</w:t>
      </w:r>
      <w:r>
        <w:rPr>
          <w:rFonts w:hint="eastAsia" w:cs="Times New Roman"/>
          <w:lang w:eastAsia="zh-CN"/>
        </w:rPr>
        <w:t>（</w:t>
      </w:r>
      <w:r>
        <w:rPr>
          <w:rFonts w:cs="Times New Roman"/>
        </w:rPr>
        <w:t>HJ610-2016）；</w:t>
      </w:r>
    </w:p>
    <w:p>
      <w:pPr>
        <w:pStyle w:val="37"/>
        <w:numPr>
          <w:ilvl w:val="0"/>
          <w:numId w:val="2"/>
        </w:numPr>
        <w:ind w:firstLineChars="0"/>
        <w:rPr>
          <w:rFonts w:cs="Times New Roman"/>
        </w:rPr>
      </w:pPr>
      <w:r>
        <w:rPr>
          <w:rFonts w:cs="Times New Roman"/>
        </w:rPr>
        <w:t>《环境影响评价技术导则声环境》</w:t>
      </w:r>
      <w:r>
        <w:rPr>
          <w:rFonts w:hint="eastAsia" w:cs="Times New Roman"/>
          <w:lang w:eastAsia="zh-CN"/>
        </w:rPr>
        <w:t>（</w:t>
      </w:r>
      <w:r>
        <w:rPr>
          <w:rFonts w:cs="Times New Roman"/>
        </w:rPr>
        <w:t>HJ2.4-2009）；</w:t>
      </w:r>
    </w:p>
    <w:p>
      <w:pPr>
        <w:pStyle w:val="37"/>
        <w:numPr>
          <w:ilvl w:val="0"/>
          <w:numId w:val="2"/>
        </w:numPr>
        <w:ind w:firstLineChars="0"/>
        <w:rPr>
          <w:rFonts w:cs="Times New Roman"/>
        </w:rPr>
      </w:pPr>
      <w:r>
        <w:rPr>
          <w:rFonts w:cs="Times New Roman"/>
        </w:rPr>
        <w:t>《环境影响评价技术导则生态环境》</w:t>
      </w:r>
      <w:r>
        <w:rPr>
          <w:rFonts w:hint="eastAsia" w:cs="Times New Roman"/>
          <w:lang w:eastAsia="zh-CN"/>
        </w:rPr>
        <w:t>（</w:t>
      </w:r>
      <w:r>
        <w:rPr>
          <w:rFonts w:cs="Times New Roman"/>
        </w:rPr>
        <w:t>HJ19-2011）；</w:t>
      </w:r>
    </w:p>
    <w:p>
      <w:pPr>
        <w:pStyle w:val="37"/>
        <w:numPr>
          <w:ilvl w:val="0"/>
          <w:numId w:val="2"/>
        </w:numPr>
        <w:ind w:firstLineChars="0"/>
        <w:rPr>
          <w:rFonts w:cs="Times New Roman"/>
        </w:rPr>
      </w:pPr>
      <w:r>
        <w:rPr>
          <w:rFonts w:hint="eastAsia" w:cs="Times New Roman"/>
          <w:lang w:val="en-US" w:eastAsia="zh-CN"/>
        </w:rPr>
        <w:t>关于发布</w:t>
      </w:r>
      <w:r>
        <w:rPr>
          <w:rFonts w:cs="Times New Roman"/>
        </w:rPr>
        <w:t>《一般工业固体废物贮存、处置场污染控制标准》</w:t>
      </w:r>
      <w:r>
        <w:rPr>
          <w:rFonts w:hint="eastAsia" w:cs="Times New Roman"/>
          <w:lang w:eastAsia="zh-CN"/>
        </w:rPr>
        <w:t>（</w:t>
      </w:r>
      <w:r>
        <w:rPr>
          <w:rFonts w:cs="Times New Roman"/>
        </w:rPr>
        <w:t>GB18599-2001）</w:t>
      </w:r>
      <w:r>
        <w:rPr>
          <w:rFonts w:hint="eastAsia" w:cs="Times New Roman"/>
          <w:lang w:val="en-US" w:eastAsia="zh-CN"/>
        </w:rPr>
        <w:t>等3项国家污染物控制标准修改单的通知（2013年6月8日），</w:t>
      </w:r>
      <w:r>
        <w:rPr>
          <w:rFonts w:cs="Times New Roman"/>
        </w:rPr>
        <w:t>；</w:t>
      </w:r>
    </w:p>
    <w:p>
      <w:pPr>
        <w:pStyle w:val="37"/>
        <w:numPr>
          <w:ilvl w:val="0"/>
          <w:numId w:val="2"/>
        </w:numPr>
        <w:ind w:firstLineChars="0"/>
        <w:rPr>
          <w:rFonts w:cs="Times New Roman"/>
        </w:rPr>
      </w:pPr>
      <w:r>
        <w:rPr>
          <w:rFonts w:cs="Times New Roman"/>
        </w:rPr>
        <w:t>《建设项目环保设施竣工验收监测技术要求</w:t>
      </w:r>
      <w:r>
        <w:rPr>
          <w:rFonts w:hint="eastAsia" w:cs="Times New Roman"/>
          <w:lang w:eastAsia="zh-CN"/>
        </w:rPr>
        <w:t>（</w:t>
      </w:r>
      <w:r>
        <w:rPr>
          <w:rFonts w:cs="Times New Roman"/>
        </w:rPr>
        <w:t>试行）》</w:t>
      </w:r>
      <w:r>
        <w:rPr>
          <w:rFonts w:hint="eastAsia" w:cs="Times New Roman"/>
          <w:lang w:eastAsia="zh-CN"/>
        </w:rPr>
        <w:t>（</w:t>
      </w:r>
      <w:r>
        <w:rPr>
          <w:rFonts w:cs="Times New Roman"/>
        </w:rPr>
        <w:t>国家环境保护总局，环发【2000】38号）；</w:t>
      </w:r>
    </w:p>
    <w:p>
      <w:pPr>
        <w:pStyle w:val="37"/>
        <w:numPr>
          <w:ilvl w:val="0"/>
          <w:numId w:val="2"/>
        </w:numPr>
        <w:ind w:firstLineChars="0"/>
        <w:rPr>
          <w:rFonts w:cs="Times New Roman"/>
        </w:rPr>
      </w:pPr>
      <w:r>
        <w:rPr>
          <w:rFonts w:cs="Times New Roman"/>
        </w:rPr>
        <w:t>《建设项目竣工环境保护验收技术指南污染影响类》</w:t>
      </w:r>
      <w:r>
        <w:rPr>
          <w:rFonts w:hint="eastAsia" w:cs="Times New Roman"/>
          <w:lang w:eastAsia="zh-CN"/>
        </w:rPr>
        <w:t>（</w:t>
      </w:r>
      <w:r>
        <w:rPr>
          <w:rFonts w:cs="Times New Roman"/>
        </w:rPr>
        <w:t>生态环境部公告[2018]第9号）。</w:t>
      </w:r>
    </w:p>
    <w:p>
      <w:pPr>
        <w:pStyle w:val="3"/>
        <w:rPr>
          <w:rFonts w:cs="Times New Roman"/>
        </w:rPr>
      </w:pPr>
      <w:bookmarkStart w:id="4" w:name="_Toc18169"/>
      <w:r>
        <w:rPr>
          <w:rFonts w:cs="Times New Roman"/>
        </w:rPr>
        <w:t>2.3建设项目环境影响报告书</w:t>
      </w:r>
      <w:r>
        <w:rPr>
          <w:rFonts w:hint="eastAsia" w:cs="Times New Roman"/>
          <w:lang w:eastAsia="zh-CN"/>
        </w:rPr>
        <w:t>（</w:t>
      </w:r>
      <w:r>
        <w:rPr>
          <w:rFonts w:cs="Times New Roman"/>
        </w:rPr>
        <w:t>表）及其审批部门审批决定</w:t>
      </w:r>
      <w:bookmarkEnd w:id="4"/>
    </w:p>
    <w:p>
      <w:pPr>
        <w:ind w:firstLine="480"/>
        <w:rPr>
          <w:rFonts w:cs="Times New Roman"/>
        </w:rPr>
      </w:pPr>
      <w:r>
        <w:rPr>
          <w:rFonts w:hint="eastAsia" w:cs="Times New Roman"/>
          <w:lang w:eastAsia="zh-CN"/>
        </w:rPr>
        <w:t>（</w:t>
      </w:r>
      <w:r>
        <w:rPr>
          <w:rFonts w:hint="eastAsia" w:cs="Times New Roman"/>
        </w:rPr>
        <w:t>1）《</w:t>
      </w:r>
      <w:r>
        <w:rPr>
          <w:rFonts w:hint="eastAsia" w:cs="Times New Roman"/>
          <w:lang w:eastAsia="zh-CN"/>
        </w:rPr>
        <w:t>新疆中泰兴苇生物科技有限公司日产125吨生活用纸产品升级改造项目</w:t>
      </w:r>
      <w:r>
        <w:rPr>
          <w:rFonts w:hint="eastAsia" w:cs="Times New Roman"/>
        </w:rPr>
        <w:t>环境影响报告书》</w:t>
      </w:r>
      <w:r>
        <w:rPr>
          <w:rFonts w:hint="eastAsia" w:cs="Times New Roman"/>
          <w:lang w:eastAsia="zh-CN"/>
        </w:rPr>
        <w:t>（</w:t>
      </w:r>
      <w:r>
        <w:rPr>
          <w:rFonts w:hint="eastAsia" w:cs="Times New Roman"/>
        </w:rPr>
        <w:t>202</w:t>
      </w:r>
      <w:r>
        <w:rPr>
          <w:rFonts w:hint="eastAsia" w:cs="Times New Roman"/>
          <w:lang w:val="en-US" w:eastAsia="zh-CN"/>
        </w:rPr>
        <w:t>1</w:t>
      </w:r>
      <w:r>
        <w:rPr>
          <w:rFonts w:hint="eastAsia" w:cs="Times New Roman"/>
        </w:rPr>
        <w:t>年</w:t>
      </w:r>
      <w:r>
        <w:rPr>
          <w:rFonts w:hint="eastAsia" w:cs="Times New Roman"/>
          <w:lang w:val="en-US" w:eastAsia="zh-CN"/>
        </w:rPr>
        <w:t>5</w:t>
      </w:r>
      <w:r>
        <w:rPr>
          <w:rFonts w:hint="eastAsia" w:cs="Times New Roman"/>
        </w:rPr>
        <w:t>月，新疆化工设计研究院有限责任公司）</w:t>
      </w:r>
    </w:p>
    <w:p>
      <w:pPr>
        <w:ind w:firstLine="480"/>
        <w:rPr>
          <w:rFonts w:hint="eastAsia" w:cs="Times New Roman"/>
          <w:lang w:eastAsia="zh-CN"/>
        </w:rPr>
      </w:pPr>
      <w:r>
        <w:rPr>
          <w:rFonts w:hint="eastAsia" w:cs="Times New Roman"/>
          <w:lang w:eastAsia="zh-CN"/>
        </w:rPr>
        <w:t>（</w:t>
      </w:r>
      <w:r>
        <w:rPr>
          <w:rFonts w:hint="eastAsia" w:cs="Times New Roman"/>
        </w:rPr>
        <w:t>2）《关于</w:t>
      </w:r>
      <w:r>
        <w:rPr>
          <w:rFonts w:hint="eastAsia" w:cs="Times New Roman"/>
          <w:lang w:eastAsia="zh-CN"/>
        </w:rPr>
        <w:t>新疆中泰兴苇生物科技有限公司日产125吨生活用纸产品升级改造项目</w:t>
      </w:r>
      <w:r>
        <w:rPr>
          <w:rFonts w:hint="eastAsia" w:cs="Times New Roman"/>
        </w:rPr>
        <w:t>环境影响报告书的批复》</w:t>
      </w:r>
      <w:r>
        <w:rPr>
          <w:rFonts w:hint="eastAsia" w:cs="Times New Roman"/>
          <w:lang w:eastAsia="zh-CN"/>
        </w:rPr>
        <w:t>（</w:t>
      </w:r>
      <w:r>
        <w:rPr>
          <w:rFonts w:hint="eastAsia"/>
          <w:lang w:eastAsia="zh-CN"/>
        </w:rPr>
        <w:t>新环审〔2021〕84号</w:t>
      </w:r>
      <w:r>
        <w:rPr>
          <w:rFonts w:hint="eastAsia" w:cs="Times New Roman"/>
        </w:rPr>
        <w:t>，</w:t>
      </w:r>
      <w:r>
        <w:rPr>
          <w:rFonts w:hint="eastAsia" w:cs="Times New Roman"/>
          <w:lang w:val="en-US" w:eastAsia="zh-CN"/>
        </w:rPr>
        <w:t>新疆维吾尔自治区生态环境厅</w:t>
      </w:r>
      <w:r>
        <w:rPr>
          <w:rFonts w:hint="eastAsia" w:cs="Times New Roman"/>
        </w:rPr>
        <w:t>，202</w:t>
      </w:r>
      <w:r>
        <w:rPr>
          <w:rFonts w:hint="eastAsia" w:cs="Times New Roman"/>
          <w:lang w:val="en-US" w:eastAsia="zh-CN"/>
        </w:rPr>
        <w:t>1</w:t>
      </w:r>
      <w:r>
        <w:rPr>
          <w:rFonts w:hint="eastAsia" w:cs="Times New Roman"/>
        </w:rPr>
        <w:t>.</w:t>
      </w:r>
      <w:r>
        <w:rPr>
          <w:rFonts w:hint="eastAsia" w:cs="Times New Roman"/>
          <w:lang w:val="en-US" w:eastAsia="zh-CN"/>
        </w:rPr>
        <w:t>6</w:t>
      </w:r>
      <w:r>
        <w:rPr>
          <w:rFonts w:hint="eastAsia" w:cs="Times New Roman"/>
        </w:rPr>
        <w:t>.</w:t>
      </w:r>
      <w:r>
        <w:rPr>
          <w:rFonts w:hint="eastAsia" w:cs="Times New Roman"/>
          <w:lang w:val="en-US" w:eastAsia="zh-CN"/>
        </w:rPr>
        <w:t>3</w:t>
      </w:r>
      <w:r>
        <w:rPr>
          <w:rFonts w:hint="eastAsia" w:cs="Times New Roman"/>
        </w:rPr>
        <w:t>）</w:t>
      </w:r>
      <w:r>
        <w:rPr>
          <w:rFonts w:hint="eastAsia" w:cs="Times New Roman"/>
          <w:lang w:eastAsia="zh-CN"/>
        </w:rPr>
        <w:t>。</w:t>
      </w:r>
    </w:p>
    <w:p>
      <w:pPr>
        <w:pStyle w:val="3"/>
        <w:spacing w:before="120" w:after="120" w:line="360" w:lineRule="auto"/>
        <w:rPr>
          <w:rFonts w:hint="eastAsia"/>
          <w:b/>
          <w:bCs w:val="0"/>
        </w:rPr>
      </w:pPr>
      <w:bookmarkStart w:id="5" w:name="_Toc14890531"/>
      <w:bookmarkStart w:id="6" w:name="_Toc12401"/>
      <w:r>
        <w:rPr>
          <w:rFonts w:hint="eastAsia"/>
          <w:b/>
          <w:bCs w:val="0"/>
        </w:rPr>
        <w:t>2.4其他相关文件</w:t>
      </w:r>
      <w:bookmarkEnd w:id="5"/>
      <w:bookmarkEnd w:id="6"/>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pPr>
      <w:r>
        <w:rPr>
          <w:rFonts w:hint="eastAsia"/>
        </w:rPr>
        <w:t>1、《新疆中泰兴苇生物科技有限公司130t/h锅炉脱硫脱硝改造技措项目环境影响报告表》，中科森环企业管理</w:t>
      </w:r>
      <w:r>
        <w:rPr>
          <w:rFonts w:hint="eastAsia"/>
          <w:lang w:eastAsia="zh-CN"/>
        </w:rPr>
        <w:t>（</w:t>
      </w:r>
      <w:r>
        <w:rPr>
          <w:rFonts w:hint="eastAsia"/>
        </w:rPr>
        <w:t>北京）有限公司，2018年7月；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pPr>
      <w:r>
        <w:rPr>
          <w:rFonts w:hint="eastAsia"/>
        </w:rPr>
        <w:t>2、</w:t>
      </w:r>
      <w:r>
        <w:rPr>
          <w:rFonts w:hint="eastAsia"/>
          <w:lang w:eastAsia="zh-CN"/>
        </w:rPr>
        <w:t>“</w:t>
      </w:r>
      <w:r>
        <w:t>关于</w:t>
      </w:r>
      <w:r>
        <w:rPr>
          <w:rFonts w:hint="eastAsia"/>
        </w:rPr>
        <w:t>新疆中泰兴苇生物科技有限公司130t/h锅炉脱硫脱硝改造技措项目环境影响报告表的批复</w:t>
      </w:r>
      <w:r>
        <w:rPr>
          <w:rFonts w:hint="eastAsia"/>
          <w:lang w:eastAsia="zh-CN"/>
        </w:rPr>
        <w:t>”</w:t>
      </w:r>
      <w:r>
        <w:rPr>
          <w:rFonts w:hint="eastAsia"/>
        </w:rPr>
        <w:t>，巴环评函〔2018〕180号，2018年8月14日</w:t>
      </w:r>
      <w: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rPr>
      </w:pPr>
      <w:r>
        <w:rPr>
          <w:rFonts w:hint="eastAsia"/>
        </w:rPr>
        <w:t>3、</w:t>
      </w:r>
      <w:r>
        <w:t>关于原博湖苇业股份有限公司日产</w:t>
      </w:r>
      <w:r>
        <w:rPr>
          <w:rFonts w:hint="eastAsia"/>
        </w:rPr>
        <w:t>30吨漂白苇浆扩建工程项目变更项目主体的批复，新疆维吾尔自治区经济和信息化委员会、新疆维吾尔自治区国防科学技术工业办公室，新经信规划〔2018〕515号，2018年9月12日；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rPr>
      </w:pPr>
      <w:r>
        <w:rPr>
          <w:rFonts w:hint="eastAsia"/>
        </w:rPr>
        <w:t>4、国家重点监控企业污染源自动监控设施验收表，新疆中测测试有限责任公司，2019年7月10日。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lang w:val="en-US" w:eastAsia="zh-CN"/>
        </w:rPr>
      </w:pPr>
      <w:r>
        <w:rPr>
          <w:rFonts w:hint="eastAsia"/>
          <w:lang w:val="en-US" w:eastAsia="zh-CN"/>
        </w:rPr>
        <w:t>5、新疆中泰兴苇生物科技有限公司日产300吨漂白苇浆复产技改工程（不含漂白相关工段）竣工环境保护验收监测报告，新疆天合环境技术咨询有限公司，2019年8月。</w:t>
      </w:r>
    </w:p>
    <w:p>
      <w:pPr>
        <w:pStyle w:val="2"/>
        <w:rPr>
          <w:rFonts w:cs="Times New Roman"/>
        </w:rPr>
      </w:pPr>
      <w:bookmarkStart w:id="7" w:name="_Toc21267"/>
      <w:r>
        <w:rPr>
          <w:rFonts w:cs="Times New Roman"/>
        </w:rPr>
        <w:t>3.工程建设情况</w:t>
      </w:r>
      <w:bookmarkEnd w:id="7"/>
    </w:p>
    <w:p>
      <w:pPr>
        <w:pStyle w:val="3"/>
        <w:rPr>
          <w:rFonts w:cs="Times New Roman"/>
        </w:rPr>
      </w:pPr>
      <w:bookmarkStart w:id="8" w:name="_Toc8830"/>
      <w:r>
        <w:rPr>
          <w:rFonts w:cs="Times New Roman"/>
        </w:rPr>
        <w:t>3.1地理位置及平面布置</w:t>
      </w:r>
      <w:bookmarkEnd w:id="8"/>
    </w:p>
    <w:p>
      <w:pPr>
        <w:bidi w:val="0"/>
        <w:rPr>
          <w:rFonts w:hint="default"/>
        </w:rPr>
      </w:pPr>
      <w:r>
        <w:rPr>
          <w:rFonts w:hint="default"/>
        </w:rPr>
        <w:t>本项目</w:t>
      </w:r>
      <w:r>
        <w:rPr>
          <w:rFonts w:ascii="宋体" w:hAnsi="宋体" w:eastAsia="宋体" w:cs="宋体"/>
          <w:spacing w:val="11"/>
          <w:sz w:val="23"/>
          <w:szCs w:val="23"/>
        </w:rPr>
        <w:t>位于库尔勒经济技术开发区</w:t>
      </w:r>
      <w:r>
        <w:rPr>
          <w:rFonts w:ascii="Times New Roman" w:hAnsi="Times New Roman" w:eastAsia="Times New Roman" w:cs="Times New Roman"/>
          <w:spacing w:val="11"/>
          <w:sz w:val="23"/>
          <w:szCs w:val="23"/>
        </w:rPr>
        <w:t>-</w:t>
      </w:r>
      <w:r>
        <w:rPr>
          <w:rFonts w:ascii="宋体" w:hAnsi="宋体" w:eastAsia="宋体" w:cs="宋体"/>
          <w:spacing w:val="11"/>
          <w:sz w:val="23"/>
          <w:szCs w:val="23"/>
        </w:rPr>
        <w:t>库尔勒纺织服装配套暨冀疆合</w:t>
      </w:r>
      <w:r>
        <w:rPr>
          <w:rFonts w:ascii="宋体" w:hAnsi="宋体" w:eastAsia="宋体" w:cs="宋体"/>
          <w:spacing w:val="26"/>
          <w:sz w:val="23"/>
          <w:szCs w:val="23"/>
        </w:rPr>
        <w:t>作区</w:t>
      </w:r>
      <w:r>
        <w:rPr>
          <w:rFonts w:ascii="宋体" w:hAnsi="宋体" w:eastAsia="宋体" w:cs="宋体"/>
          <w:spacing w:val="13"/>
          <w:sz w:val="23"/>
          <w:szCs w:val="23"/>
        </w:rPr>
        <w:t>，新疆中泰兴苇生物科技有限公司现有厂区内，厂址中心地理坐标：东经</w:t>
      </w:r>
      <w:r>
        <w:rPr>
          <w:rFonts w:ascii="Times New Roman" w:hAnsi="Times New Roman" w:eastAsia="Times New Roman" w:cs="Times New Roman"/>
          <w:spacing w:val="-2"/>
          <w:sz w:val="23"/>
          <w:szCs w:val="23"/>
        </w:rPr>
        <w:t>86°18′34.27″</w:t>
      </w:r>
      <w:r>
        <w:rPr>
          <w:rFonts w:ascii="宋体" w:hAnsi="宋体" w:eastAsia="宋体" w:cs="宋体"/>
          <w:spacing w:val="-1"/>
          <w:sz w:val="23"/>
          <w:szCs w:val="23"/>
        </w:rPr>
        <w:t>，北纬</w:t>
      </w:r>
      <w:r>
        <w:rPr>
          <w:rFonts w:ascii="Times New Roman" w:hAnsi="Times New Roman" w:eastAsia="Times New Roman" w:cs="Times New Roman"/>
          <w:spacing w:val="-1"/>
          <w:sz w:val="23"/>
          <w:szCs w:val="23"/>
        </w:rPr>
        <w:t>41°31′48.62″</w:t>
      </w:r>
      <w:r>
        <w:rPr>
          <w:rFonts w:ascii="宋体" w:hAnsi="宋体" w:eastAsia="宋体" w:cs="宋体"/>
          <w:spacing w:val="-1"/>
          <w:sz w:val="23"/>
          <w:szCs w:val="23"/>
        </w:rPr>
        <w:t>。</w:t>
      </w:r>
      <w:r>
        <w:rPr>
          <w:rFonts w:hint="default"/>
        </w:rPr>
        <w:t>项目地理位置图详见图3.1-1，厂区具体布置图详见图3.1-2。项目占地面积12951.2m2，新建日产125吨生活用纸生产线和成品库，其中日产25吨生活用纸生产车间利用现有检修厂房进行改造，100吨生活用纸生产车间为新建。本项目供水、供汽、供电等公用设施依托厂区现有工程。</w:t>
      </w:r>
    </w:p>
    <w:p>
      <w:pPr>
        <w:bidi w:val="0"/>
        <w:rPr>
          <w:rFonts w:hint="eastAsia"/>
          <w:lang w:val="en-US" w:eastAsia="zh-CN"/>
        </w:rPr>
      </w:pPr>
      <w:r>
        <w:rPr>
          <w:rFonts w:hint="eastAsia"/>
          <w:lang w:val="en-US" w:eastAsia="zh-CN"/>
        </w:rPr>
        <w:t>总平面布置：本项目占地面积12951.2</w:t>
      </w:r>
      <w:r>
        <w:rPr>
          <w:rFonts w:hint="eastAsia"/>
          <w:lang w:val="en-US" w:eastAsia="zh-Hans"/>
        </w:rPr>
        <w:t>m²</w:t>
      </w:r>
      <w:r>
        <w:rPr>
          <w:rFonts w:hint="eastAsia"/>
          <w:lang w:val="en-US" w:eastAsia="zh-CN"/>
        </w:rPr>
        <w:t>，主要包括两个造纸生产车间和两个成品库房。其中日产25吨生活用纸生产车间利用现有检修厂房进行改造，新建日产125吨生活用纸生产线和成品库，拟建的100吨/天造纸车间位于厂区中部偏北，现有2号浆板车间北侧；新建成品库房位于100吨/天造纸车间东北及东南</w:t>
      </w:r>
      <w:r>
        <w:rPr>
          <w:rFonts w:hint="default"/>
          <w:lang w:eastAsia="zh-CN"/>
        </w:rPr>
        <w:t>;</w:t>
      </w:r>
      <w:r>
        <w:rPr>
          <w:rFonts w:hint="eastAsia"/>
          <w:lang w:val="en-US" w:eastAsia="zh-CN"/>
        </w:rPr>
        <w:t>25吨/天造纸车间利用现有检修库房改造，位于厂区中部，制浆车间以东；项目总平面布置详见图3.2-4。本项目在现有厂区基础上规划建设，各生产区功能明确，布置紧凑合理，工艺流程顺畅，物料管线短捷，充分依托厂区现有环保设施，布局合理。</w:t>
      </w:r>
    </w:p>
    <w:p>
      <w:pPr>
        <w:bidi w:val="0"/>
        <w:rPr>
          <w:rFonts w:hint="default"/>
          <w:lang w:val="en-US" w:eastAsia="zh-CN"/>
        </w:rPr>
        <w:sectPr>
          <w:headerReference r:id="rId7" w:type="default"/>
          <w:footerReference r:id="rId8" w:type="default"/>
          <w:pgSz w:w="11906" w:h="16838"/>
          <w:pgMar w:top="1418" w:right="1588" w:bottom="1418" w:left="1418" w:header="851" w:footer="992" w:gutter="0"/>
          <w:pgNumType w:fmt="decimal" w:start="1"/>
          <w:cols w:space="425" w:num="1"/>
          <w:docGrid w:type="lines" w:linePitch="326" w:charSpace="0"/>
        </w:sectPr>
      </w:pPr>
    </w:p>
    <w:p>
      <w:pPr>
        <w:pStyle w:val="7"/>
      </w:pPr>
      <w:r>
        <w:drawing>
          <wp:inline distT="0" distB="0" distL="114300" distR="114300">
            <wp:extent cx="7896225" cy="497205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7896225" cy="4972050"/>
                    </a:xfrm>
                    <a:prstGeom prst="rect">
                      <a:avLst/>
                    </a:prstGeom>
                    <a:noFill/>
                    <a:ln>
                      <a:noFill/>
                    </a:ln>
                  </pic:spPr>
                </pic:pic>
              </a:graphicData>
            </a:graphic>
          </wp:inline>
        </w:drawing>
      </w:r>
    </w:p>
    <w:p>
      <w:pPr>
        <w:pStyle w:val="7"/>
      </w:pPr>
    </w:p>
    <w:p>
      <w:pPr>
        <w:bidi w:val="0"/>
        <w:sectPr>
          <w:pgSz w:w="16838" w:h="11906" w:orient="landscape"/>
          <w:pgMar w:top="1418" w:right="1418" w:bottom="1588" w:left="1418" w:header="851" w:footer="992" w:gutter="0"/>
          <w:pgNumType w:fmt="decimal"/>
          <w:cols w:space="425" w:num="1"/>
          <w:docGrid w:type="lines" w:linePitch="326" w:charSpace="0"/>
        </w:sectPr>
      </w:pPr>
    </w:p>
    <w:p>
      <w:pPr>
        <w:pStyle w:val="3"/>
        <w:bidi w:val="0"/>
      </w:pPr>
      <w:bookmarkStart w:id="9" w:name="_Toc20730"/>
      <w:r>
        <w:t>3.2建设内容</w:t>
      </w:r>
      <w:bookmarkEnd w:id="9"/>
    </w:p>
    <w:p>
      <w:pPr>
        <w:bidi w:val="0"/>
        <w:rPr>
          <w:rFonts w:hint="default" w:ascii="Times New Roman" w:hAnsi="Times New Roman" w:cs="Times New Roman"/>
        </w:rPr>
      </w:pPr>
      <w:r>
        <w:rPr>
          <w:rFonts w:hint="default" w:ascii="Times New Roman" w:hAnsi="Times New Roman" w:cs="Times New Roman"/>
        </w:rPr>
        <w:t>项目名称：新疆中泰兴苇生物科技有限公司日产125吨生活用纸产品升级改造项目</w:t>
      </w:r>
    </w:p>
    <w:p>
      <w:pPr>
        <w:bidi w:val="0"/>
        <w:rPr>
          <w:rFonts w:hint="default" w:ascii="Times New Roman" w:hAnsi="Times New Roman" w:cs="Times New Roman"/>
        </w:rPr>
      </w:pPr>
      <w:r>
        <w:rPr>
          <w:rFonts w:hint="default" w:ascii="Times New Roman" w:hAnsi="Times New Roman" w:cs="Times New Roman"/>
        </w:rPr>
        <w:t>建设单位：新疆中泰兴苇生物科技有限公司</w:t>
      </w:r>
    </w:p>
    <w:p>
      <w:pPr>
        <w:bidi w:val="0"/>
        <w:rPr>
          <w:rFonts w:hint="default" w:ascii="Times New Roman" w:hAnsi="Times New Roman" w:cs="Times New Roman"/>
        </w:rPr>
      </w:pPr>
      <w:r>
        <w:rPr>
          <w:rFonts w:hint="default" w:ascii="Times New Roman" w:hAnsi="Times New Roman" w:cs="Times New Roman"/>
        </w:rPr>
        <w:t>建设地点：项目位于库尔勒经济技术开发区-库尔勒纺织服装配套暨冀疆合作区，新疆中泰兴苇生物科技有限公司现有厂区内，厂址中心地理坐标：东经86°18′34.27″，北纬41°31′48.62″。地理位置详见图3.2-1。</w:t>
      </w:r>
    </w:p>
    <w:p>
      <w:pPr>
        <w:bidi w:val="0"/>
        <w:rPr>
          <w:rFonts w:hint="default" w:ascii="Times New Roman" w:hAnsi="Times New Roman" w:cs="Times New Roman"/>
        </w:rPr>
      </w:pPr>
      <w:r>
        <w:rPr>
          <w:rFonts w:hint="default" w:ascii="Times New Roman" w:hAnsi="Times New Roman" w:cs="Times New Roman"/>
        </w:rPr>
        <w:t>建设内容：项目占地面积12951.2m</w:t>
      </w:r>
      <w:r>
        <w:rPr>
          <w:rFonts w:hint="default" w:ascii="Times New Roman" w:hAnsi="Times New Roman" w:cs="Times New Roman"/>
          <w:lang w:val="en-US" w:eastAsia="zh-Hans"/>
        </w:rPr>
        <w:t>²</w:t>
      </w:r>
      <w:r>
        <w:rPr>
          <w:rFonts w:hint="default" w:ascii="Times New Roman" w:hAnsi="Times New Roman" w:cs="Times New Roman"/>
        </w:rPr>
        <w:t>，新建日产125吨生活用纸生产线和成品库，其中日产25吨生活用纸生产车间利用现有检修厂房进行改造，100吨生活用纸生产车间为新建。本项目供水、供汽、供电等公用设施依托厂区现有工程。</w:t>
      </w:r>
    </w:p>
    <w:p>
      <w:pPr>
        <w:bidi w:val="0"/>
        <w:rPr>
          <w:rFonts w:hint="default" w:ascii="Times New Roman" w:hAnsi="Times New Roman" w:cs="Times New Roman"/>
        </w:rPr>
      </w:pPr>
      <w:r>
        <w:rPr>
          <w:rFonts w:hint="default" w:ascii="Times New Roman" w:hAnsi="Times New Roman" w:cs="Times New Roman"/>
        </w:rPr>
        <w:t>项目性质：改建</w:t>
      </w:r>
    </w:p>
    <w:p>
      <w:pPr>
        <w:bidi w:val="0"/>
        <w:rPr>
          <w:rFonts w:hint="default" w:ascii="Times New Roman" w:hAnsi="Times New Roman" w:cs="Times New Roman"/>
        </w:rPr>
      </w:pPr>
      <w:r>
        <w:rPr>
          <w:rFonts w:hint="default" w:ascii="Times New Roman" w:hAnsi="Times New Roman" w:cs="Times New Roman"/>
        </w:rPr>
        <w:t>项目总投资：18301万元，其中环保投资318万元，占总投资18301万元的1.74%。</w:t>
      </w:r>
    </w:p>
    <w:p>
      <w:pPr>
        <w:bidi w:val="0"/>
        <w:rPr>
          <w:rFonts w:hint="default" w:ascii="Times New Roman" w:hAnsi="Times New Roman" w:cs="Times New Roman"/>
        </w:rPr>
      </w:pPr>
      <w:r>
        <w:rPr>
          <w:rFonts w:hint="default" w:ascii="Times New Roman" w:hAnsi="Times New Roman" w:cs="Times New Roman"/>
        </w:rPr>
        <w:t>劳动定员：本项目新增劳动人数135人。</w:t>
      </w:r>
    </w:p>
    <w:p>
      <w:pPr>
        <w:bidi w:val="0"/>
        <w:rPr>
          <w:rFonts w:hint="default" w:ascii="Times New Roman" w:hAnsi="Times New Roman" w:cs="Times New Roman"/>
        </w:rPr>
      </w:pPr>
      <w:r>
        <w:rPr>
          <w:rFonts w:hint="default" w:ascii="Times New Roman" w:hAnsi="Times New Roman" w:cs="Times New Roman"/>
        </w:rPr>
        <w:t>工作时数：年工作天数330天，三班制，8h工作制，共计7920h。</w:t>
      </w:r>
    </w:p>
    <w:p>
      <w:pPr>
        <w:pStyle w:val="21"/>
      </w:pPr>
      <w:r>
        <w:rPr>
          <w:rFonts w:cs="Times New Roman"/>
        </w:rPr>
        <w:t>表3</w:t>
      </w:r>
      <w:r>
        <w:rPr>
          <w:rFonts w:hint="eastAsia" w:cs="Times New Roman"/>
        </w:rPr>
        <w:t>.2</w:t>
      </w:r>
      <w:r>
        <w:rPr>
          <w:rFonts w:cs="Times New Roman"/>
        </w:rPr>
        <w:t>-1项目</w:t>
      </w:r>
      <w:r>
        <w:rPr>
          <w:rFonts w:hint="eastAsia" w:cs="Times New Roman"/>
          <w:lang w:val="en-US" w:eastAsia="zh-CN"/>
        </w:rPr>
        <w:t>组成一览表</w:t>
      </w:r>
    </w:p>
    <w:tbl>
      <w:tblPr>
        <w:tblStyle w:val="62"/>
        <w:tblW w:w="83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0"/>
        <w:gridCol w:w="461"/>
        <w:gridCol w:w="575"/>
        <w:gridCol w:w="1153"/>
        <w:gridCol w:w="2181"/>
        <w:gridCol w:w="2828"/>
        <w:gridCol w:w="7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420"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4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工程类别</w:t>
            </w:r>
          </w:p>
        </w:tc>
        <w:tc>
          <w:tcPr>
            <w:tcW w:w="1728" w:type="dxa"/>
            <w:gridSpan w:val="2"/>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生产车间/设施</w:t>
            </w:r>
          </w:p>
        </w:tc>
        <w:tc>
          <w:tcPr>
            <w:tcW w:w="2181"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现有工程组成</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改建工程组成</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restart"/>
            <w:tcBorders>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461" w:type="dxa"/>
            <w:vMerge w:val="restart"/>
            <w:tcBorders>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主体工程</w:t>
            </w:r>
          </w:p>
        </w:tc>
        <w:tc>
          <w:tcPr>
            <w:tcW w:w="1728" w:type="dxa"/>
            <w:gridSpan w:val="2"/>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备料车间</w:t>
            </w:r>
          </w:p>
        </w:tc>
        <w:tc>
          <w:tcPr>
            <w:tcW w:w="2181"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日处理芦苇750t/d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制浆车间</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蒸煮工段</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一线连蒸150t/d</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二线连蒸150t/d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洗涤</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300t/d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筛选</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300t/d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漂白工段</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eastAsia="宋体" w:cs="宋体"/>
                <w:sz w:val="21"/>
                <w:szCs w:val="21"/>
              </w:rPr>
              <w:t>300t/d</w:t>
            </w:r>
            <w:r>
              <w:rPr>
                <w:rFonts w:hint="eastAsia" w:ascii="宋体" w:hAnsi="宋体" w:cs="宋体"/>
                <w:sz w:val="21"/>
                <w:szCs w:val="21"/>
                <w:lang w:eastAsia="zh-CN"/>
              </w:rPr>
              <w:t>）</w:t>
            </w:r>
            <w:r>
              <w:rPr>
                <w:rFonts w:hint="eastAsia" w:ascii="宋体" w:hAnsi="宋体" w:eastAsia="宋体" w:cs="宋体"/>
                <w:sz w:val="21"/>
                <w:szCs w:val="21"/>
              </w:rPr>
              <w:t>已建，未投运</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浆板车间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浆板一号机200t/d浆板二号机100t/d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浆板二号机关停</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1#造纸车间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检修厂房</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车间占地面积1351.2m</w:t>
            </w:r>
            <w:r>
              <w:rPr>
                <w:rFonts w:hint="eastAsia" w:ascii="宋体" w:hAnsi="宋体" w:eastAsia="宋体" w:cs="宋体"/>
                <w:sz w:val="21"/>
                <w:szCs w:val="21"/>
                <w:lang w:val="en-US" w:eastAsia="zh-Hans"/>
              </w:rPr>
              <w:t>²</w:t>
            </w:r>
            <w:r>
              <w:rPr>
                <w:rFonts w:hint="eastAsia" w:ascii="宋体" w:hAnsi="宋体" w:eastAsia="宋体" w:cs="宋体"/>
                <w:sz w:val="21"/>
                <w:szCs w:val="21"/>
              </w:rPr>
              <w:t>，新建25t/d生活用纸生产线。</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厂房利旧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20" w:type="dxa"/>
            <w:vMerge w:val="continue"/>
            <w:tcBorders>
              <w:top w:val="nil"/>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2#造纸车间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车间占地面积8400m</w:t>
            </w:r>
            <w:r>
              <w:rPr>
                <w:rFonts w:hint="eastAsia" w:ascii="宋体" w:hAnsi="宋体" w:eastAsia="宋体" w:cs="宋体"/>
                <w:sz w:val="21"/>
                <w:szCs w:val="21"/>
                <w:lang w:val="en-US" w:eastAsia="zh-Hans"/>
              </w:rPr>
              <w:t>²</w:t>
            </w:r>
            <w:r>
              <w:rPr>
                <w:rFonts w:hint="eastAsia" w:ascii="宋体" w:hAnsi="宋体" w:eastAsia="宋体" w:cs="宋体"/>
                <w:sz w:val="21"/>
                <w:szCs w:val="21"/>
              </w:rPr>
              <w:t>，新建100t/d生活用纸生产线。</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jc w:val="center"/>
        </w:trPr>
        <w:tc>
          <w:tcPr>
            <w:tcW w:w="420" w:type="dxa"/>
            <w:vMerge w:val="restart"/>
            <w:tcBorders>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461" w:type="dxa"/>
            <w:vMerge w:val="restart"/>
            <w:tcBorders>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辅助</w:t>
            </w:r>
            <w:r>
              <w:rPr>
                <w:rFonts w:hint="eastAsia" w:ascii="宋体" w:hAnsi="宋体" w:cs="宋体"/>
                <w:sz w:val="21"/>
                <w:szCs w:val="21"/>
                <w:lang w:val="en-US" w:eastAsia="zh-CN"/>
              </w:rPr>
              <w:t>工</w:t>
            </w:r>
            <w:r>
              <w:rPr>
                <w:rFonts w:hint="eastAsia" w:ascii="宋体" w:hAnsi="宋体" w:eastAsia="宋体" w:cs="宋体"/>
                <w:sz w:val="21"/>
                <w:szCs w:val="21"/>
              </w:rPr>
              <w:t>程</w:t>
            </w: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热电站</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1台130t/h循环流化床锅炉</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restart"/>
            <w:tcBorders>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-365760</wp:posOffset>
                      </wp:positionH>
                      <wp:positionV relativeFrom="paragraph">
                        <wp:posOffset>45085</wp:posOffset>
                      </wp:positionV>
                      <wp:extent cx="180975" cy="31051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0975" cy="310515"/>
                              </a:xfrm>
                              <a:prstGeom prst="rect">
                                <a:avLst/>
                              </a:prstGeom>
                              <a:noFill/>
                              <a:ln>
                                <a:noFill/>
                              </a:ln>
                            </wps:spPr>
                            <wps:txbx>
                              <w:txbxContent>
                                <w:p>
                                  <w:pPr>
                                    <w:spacing w:before="20" w:line="219" w:lineRule="auto"/>
                                    <w:ind w:left="20"/>
                                    <w:rPr>
                                      <w:rFonts w:ascii="宋体" w:hAnsi="宋体" w:eastAsia="宋体" w:cs="宋体"/>
                                      <w:sz w:val="20"/>
                                      <w:szCs w:val="20"/>
                                    </w:rPr>
                                  </w:pPr>
                                  <w:r>
                                    <w:rPr>
                                      <w:rFonts w:ascii="宋体" w:hAnsi="宋体" w:eastAsia="宋体" w:cs="宋体"/>
                                      <w:spacing w:val="24"/>
                                      <w:sz w:val="20"/>
                                      <w:szCs w:val="20"/>
                                    </w:rPr>
                                    <w:t>碱收</w:t>
                                  </w:r>
                                </w:p>
                              </w:txbxContent>
                            </wps:txbx>
                            <wps:bodyPr vert="eaVert" lIns="0" tIns="0" rIns="0" bIns="0" upright="1"/>
                          </wps:wsp>
                        </a:graphicData>
                      </a:graphic>
                    </wp:anchor>
                  </w:drawing>
                </mc:Choice>
                <mc:Fallback>
                  <w:pict>
                    <v:shape id="_x0000_s1026" o:spid="_x0000_s1026" o:spt="202" type="#_x0000_t202" style="position:absolute;left:0pt;margin-left:-28.8pt;margin-top:3.55pt;height:24.45pt;width:14.25pt;z-index:251663360;mso-width-relative:page;mso-height-relative:page;" filled="f" stroked="f" coordsize="21600,21600" o:gfxdata="UEsDBAoAAAAAAIdO4kAAAAAAAAAAAAAAAAAEAAAAZHJzL1BLAwQUAAAACACHTuJAyynM+9YAAAAI&#10;AQAADwAAAGRycy9kb3ducmV2LnhtbE2PzU7DMBCE70i8g7VI3FI7RUkhjVOhVsC5oZfcXHtJotrr&#10;KHZ/eHvMCW6zmtHMt/Xm5iy74BxGTxLyhQCGpL0ZqZdw+HzLnoGFqMgo6wklfGOATXN/V6vK+Cvt&#10;8dLGnqUSCpWSMMQ4VZwHPaBTYeEnpOR9+dmpmM6552ZW11TuLF8KUXKnRkoLg5pwO6A+tWcnodt2&#10;lnt9KPTH/omr13b3brudlI8PuVgDi3iLf2H4xU/o0CSmoz+TCcxKyIpVmaISVjmw5GfLlySOEopS&#10;AG9q/v+B5gdQSwMEFAAAAAgAh07iQDdHAKzDAQAAgQMAAA4AAABkcnMvZTJvRG9jLnhtbK1TwY7T&#10;MBC9I/EPlu/UyaLCEjVdCVWLkBAgLXB3HbuxZHss223SH4A/4MSFO9/V72DsNF1YLnvgYo9nxm/m&#10;vbFXN6M15CBD1OBaWi8qSqQT0Gm3a+nnT7fPrimJibuOG3CypUcZ6c366ZPV4Bt5BT2YTgaCIC42&#10;g29pn5JvGIuil5bHBXjpMKggWJ7wGHasC3xAdGvYVVW9YAOEzgcQMkb0bqYgPSOGxwCCUlrIDYi9&#10;lS5NqEEanpBS7LWPdF26VUqK9EGpKBMxLUWmqaxYBO1tXtl6xZtd4L7X4twCf0wLDzhZrh0WvUBt&#10;eOJkH/Q/UFaLABFUWgiwbCJSFEEWdfVAm7uee1m4oNTRX0SP/w9WvD98DER3LV3WlDhuceKn799O&#10;P36dfn4l6EOBBh8bzLvzmJnG1zDis5n9EZ2Z96iCzTsyIhhHeY8XeeWYiMiXrqtXL5eUCAw9r6tl&#10;vcwo7P6yDzG9kWBJNloacHpFVH54F9OUOqfkWg5utTFlgsb95UDM7GG586nDbKVxO57pbKE7Ihv8&#10;BlhH8i+4U2LeOlQ2v5LZCLOxnY29D3rX46WiQCmAkykszq8oj/7Pc2nj/u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LKcz71gAAAAgBAAAPAAAAAAAAAAEAIAAAACIAAABkcnMvZG93bnJldi54&#10;bWxQSwECFAAUAAAACACHTuJAN0cArMMBAACBAwAADgAAAAAAAAABACAAAAAlAQAAZHJzL2Uyb0Rv&#10;Yy54bWxQSwUGAAAAAAYABgBZAQAAWgUAAAAA&#10;">
                      <v:fill on="f" focussize="0,0"/>
                      <v:stroke on="f"/>
                      <v:imagedata o:title=""/>
                      <o:lock v:ext="edit" aspectratio="f"/>
                      <v:textbox inset="0mm,0mm,0mm,0mm" style="layout-flow:vertical-ideographic;">
                        <w:txbxContent>
                          <w:p>
                            <w:pPr>
                              <w:spacing w:before="20" w:line="219" w:lineRule="auto"/>
                              <w:ind w:left="20"/>
                              <w:rPr>
                                <w:rFonts w:ascii="宋体" w:hAnsi="宋体" w:eastAsia="宋体" w:cs="宋体"/>
                                <w:sz w:val="20"/>
                                <w:szCs w:val="20"/>
                              </w:rPr>
                            </w:pPr>
                            <w:r>
                              <w:rPr>
                                <w:rFonts w:ascii="宋体" w:hAnsi="宋体" w:eastAsia="宋体" w:cs="宋体"/>
                                <w:spacing w:val="24"/>
                                <w:sz w:val="20"/>
                                <w:szCs w:val="20"/>
                              </w:rPr>
                              <w:t>碱收</w:t>
                            </w:r>
                          </w:p>
                        </w:txbxContent>
                      </v:textbox>
                    </v:shape>
                  </w:pict>
                </mc:Fallback>
              </mc:AlternateContent>
            </w:r>
            <w:r>
              <w:rPr>
                <w:rFonts w:hint="eastAsia" w:ascii="宋体" w:hAnsi="宋体" w:eastAsia="宋体" w:cs="宋体"/>
                <w:sz w:val="21"/>
                <w:szCs w:val="21"/>
              </w:rPr>
              <w:t>回车间</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蒸发工段</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蒸发水量150t/h</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燃烧工段</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固形物500t/d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苛化工段</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气机间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1台15MW抽背机组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1台6MW背压机组</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化学品制备车间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新建，未投运</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综合仓库</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jc w:val="center"/>
        </w:trPr>
        <w:tc>
          <w:tcPr>
            <w:tcW w:w="420" w:type="dxa"/>
            <w:vMerge w:val="continue"/>
            <w:tcBorders>
              <w:top w:val="nil"/>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成品库房</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2个成品库，建筑面积均为1600m</w:t>
            </w:r>
            <w:r>
              <w:rPr>
                <w:rFonts w:hint="eastAsia" w:ascii="宋体" w:hAnsi="宋体" w:cs="宋体"/>
                <w:sz w:val="21"/>
                <w:szCs w:val="21"/>
                <w:vertAlign w:val="superscript"/>
                <w:lang w:val="en-US" w:eastAsia="zh-CN"/>
              </w:rPr>
              <w:t>2</w:t>
            </w:r>
            <w:r>
              <w:rPr>
                <w:rFonts w:hint="eastAsia" w:ascii="宋体" w:hAnsi="宋体" w:cs="宋体"/>
                <w:sz w:val="21"/>
                <w:szCs w:val="21"/>
                <w:lang w:eastAsia="zh-CN"/>
              </w:rPr>
              <w:t>（</w:t>
            </w:r>
            <w:r>
              <w:rPr>
                <w:rFonts w:hint="eastAsia" w:ascii="宋体" w:hAnsi="宋体" w:eastAsia="宋体" w:cs="宋体"/>
                <w:sz w:val="21"/>
                <w:szCs w:val="21"/>
              </w:rPr>
              <w:t>40m*40m</w:t>
            </w:r>
            <w:r>
              <w:rPr>
                <w:rFonts w:hint="eastAsia" w:ascii="宋体" w:hAnsi="宋体" w:cs="宋体"/>
                <w:sz w:val="21"/>
                <w:szCs w:val="21"/>
                <w:lang w:eastAsia="zh-CN"/>
              </w:rPr>
              <w:t>）</w:t>
            </w: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restart"/>
            <w:tcBorders>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461" w:type="dxa"/>
            <w:vMerge w:val="restart"/>
            <w:tcBorders>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公用工程</w:t>
            </w: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给水站</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20000m</w:t>
            </w:r>
            <w:r>
              <w:rPr>
                <w:rFonts w:hint="eastAsia" w:ascii="宋体" w:hAnsi="宋体" w:eastAsia="宋体" w:cs="宋体"/>
                <w:sz w:val="21"/>
                <w:szCs w:val="21"/>
                <w:lang w:val="en-US" w:eastAsia="zh-Hans"/>
              </w:rPr>
              <w:t>³</w:t>
            </w:r>
            <w:r>
              <w:rPr>
                <w:rFonts w:hint="eastAsia" w:ascii="宋体" w:hAnsi="宋体" w:eastAsia="宋体" w:cs="宋体"/>
                <w:sz w:val="21"/>
                <w:szCs w:val="21"/>
              </w:rPr>
              <w: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空压站</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占地2868m</w:t>
            </w:r>
            <w:r>
              <w:rPr>
                <w:rFonts w:hint="eastAsia" w:ascii="宋体" w:hAnsi="宋体" w:eastAsia="宋体" w:cs="宋体"/>
                <w:sz w:val="21"/>
                <w:szCs w:val="21"/>
                <w:lang w:val="en-US" w:eastAsia="zh-Hans"/>
              </w:rPr>
              <w:t>²</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总配电所</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占地1157m</w:t>
            </w:r>
            <w:r>
              <w:rPr>
                <w:rFonts w:hint="eastAsia" w:ascii="宋体" w:hAnsi="宋体" w:eastAsia="宋体" w:cs="宋体"/>
                <w:sz w:val="21"/>
                <w:szCs w:val="21"/>
                <w:lang w:val="en-US" w:eastAsia="zh-Hans"/>
              </w:rPr>
              <w:t>²</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restart"/>
            <w:tcBorders>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461" w:type="dxa"/>
            <w:vMerge w:val="restart"/>
            <w:tcBorders>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环保工程</w:t>
            </w:r>
          </w:p>
        </w:tc>
        <w:tc>
          <w:tcPr>
            <w:tcW w:w="575" w:type="dxa"/>
            <w:vMerge w:val="restart"/>
            <w:tcBorders>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废水处理设施</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污水处理站</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30000m</w:t>
            </w:r>
            <w:r>
              <w:rPr>
                <w:rFonts w:hint="eastAsia" w:ascii="宋体" w:hAnsi="宋体" w:eastAsia="宋体" w:cs="宋体"/>
                <w:sz w:val="21"/>
                <w:szCs w:val="21"/>
                <w:lang w:val="en-US" w:eastAsia="zh-Hans"/>
              </w:rPr>
              <w:t>³</w:t>
            </w:r>
            <w:r>
              <w:rPr>
                <w:rFonts w:hint="eastAsia" w:ascii="宋体" w:hAnsi="宋体" w:eastAsia="宋体" w:cs="宋体"/>
                <w:sz w:val="21"/>
                <w:szCs w:val="21"/>
              </w:rPr>
              <w:t>/d</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白水回收系统</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现有1套白水回收系统，处理工艺沉淀+气浮。</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新建多圆盘白水处理设施，处理能力800m</w:t>
            </w:r>
            <w:r>
              <w:rPr>
                <w:rFonts w:hint="eastAsia" w:ascii="宋体" w:hAnsi="宋体" w:eastAsia="宋体" w:cs="宋体"/>
                <w:sz w:val="21"/>
                <w:szCs w:val="21"/>
                <w:lang w:val="en-US" w:eastAsia="zh-Hans"/>
              </w:rPr>
              <w:t>³</w:t>
            </w:r>
            <w:r>
              <w:rPr>
                <w:rFonts w:hint="eastAsia" w:ascii="宋体" w:hAnsi="宋体" w:eastAsia="宋体" w:cs="宋体"/>
                <w:sz w:val="21"/>
                <w:szCs w:val="21"/>
              </w:rPr>
              <w:t>/h</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施工废水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施工期建设防渗隔油沉淀池</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restart"/>
            <w:tcBorders>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气理施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废处设</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热电锅炉</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低氮燃烧器+SNCR炉内</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脱硝+布袋除尘+白泥脱</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硫净化+55m烟囱</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碱回收炉</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静电除尘+100m烟囱</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漂白塔</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NaOH洗涤+25m排气筒</w:t>
            </w:r>
            <w:r>
              <w:rPr>
                <w:rFonts w:hint="eastAsia" w:ascii="宋体" w:hAnsi="宋体" w:cs="宋体"/>
                <w:sz w:val="21"/>
                <w:szCs w:val="21"/>
                <w:lang w:eastAsia="zh-CN"/>
              </w:rPr>
              <w:t>（</w:t>
            </w:r>
            <w:r>
              <w:rPr>
                <w:rFonts w:hint="eastAsia" w:ascii="宋体" w:hAnsi="宋体" w:eastAsia="宋体" w:cs="宋体"/>
                <w:sz w:val="21"/>
                <w:szCs w:val="21"/>
              </w:rPr>
              <w:t>已建，未投运</w:t>
            </w:r>
            <w:r>
              <w:rPr>
                <w:rFonts w:hint="eastAsia" w:ascii="宋体" w:hAnsi="宋体" w:cs="宋体"/>
                <w:sz w:val="21"/>
                <w:szCs w:val="21"/>
                <w:lang w:eastAsia="zh-CN"/>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造纸车间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集尘罩+袋式除尘</w:t>
            </w:r>
            <w:r>
              <w:rPr>
                <w:rFonts w:hint="eastAsia" w:ascii="宋体" w:hAnsi="宋体" w:cs="宋体"/>
                <w:sz w:val="21"/>
                <w:szCs w:val="21"/>
                <w:lang w:eastAsia="zh-CN"/>
              </w:rPr>
              <w:t>（</w:t>
            </w:r>
            <w:r>
              <w:rPr>
                <w:rFonts w:hint="eastAsia" w:ascii="宋体" w:hAnsi="宋体" w:eastAsia="宋体" w:cs="宋体"/>
                <w:sz w:val="21"/>
                <w:szCs w:val="21"/>
              </w:rPr>
              <w:t>2套</w:t>
            </w:r>
            <w:r>
              <w:rPr>
                <w:rFonts w:hint="eastAsia" w:ascii="宋体" w:hAnsi="宋体" w:cs="宋体"/>
                <w:sz w:val="21"/>
                <w:szCs w:val="21"/>
                <w:lang w:eastAsia="zh-CN"/>
              </w:rPr>
              <w:t>）</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固废处置</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危废间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已建25m</w:t>
            </w:r>
            <w:r>
              <w:rPr>
                <w:rFonts w:hint="eastAsia" w:ascii="宋体" w:hAnsi="宋体" w:eastAsia="宋体" w:cs="宋体"/>
                <w:sz w:val="21"/>
                <w:szCs w:val="21"/>
                <w:lang w:val="en-US" w:eastAsia="zh-Hans"/>
              </w:rPr>
              <w:t>²</w:t>
            </w:r>
            <w:r>
              <w:rPr>
                <w:rFonts w:hint="eastAsia" w:ascii="宋体" w:hAnsi="宋体" w:eastAsia="宋体" w:cs="宋体"/>
                <w:sz w:val="21"/>
                <w:szCs w:val="21"/>
              </w:rPr>
              <w:t>危废间</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一般工业固废存储</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废毛布等暂存设施</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153"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浆渣暂存设施</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依托现有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420" w:type="dxa"/>
            <w:vMerge w:val="continue"/>
            <w:tcBorders>
              <w:top w:val="nil"/>
              <w:left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bottom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噪声</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造纸车间</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设备隔声减振等</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jc w:val="center"/>
        </w:trPr>
        <w:tc>
          <w:tcPr>
            <w:tcW w:w="420" w:type="dxa"/>
            <w:vMerge w:val="continue"/>
            <w:tcBorders>
              <w:top w:val="nil"/>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461" w:type="dxa"/>
            <w:vMerge w:val="continue"/>
            <w:tcBorders>
              <w:top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5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环境风险</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造纸车间、成品库等</w:t>
            </w:r>
          </w:p>
        </w:tc>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造纸车间及白水池等防渗、成品库防火</w:t>
            </w:r>
          </w:p>
        </w:tc>
        <w:tc>
          <w:tcPr>
            <w:tcW w:w="72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bl>
    <w:p>
      <w:pPr>
        <w:pStyle w:val="21"/>
        <w:rPr>
          <w:rFonts w:hint="eastAsia" w:cs="Times New Roman"/>
        </w:rPr>
      </w:pPr>
    </w:p>
    <w:p>
      <w:pPr>
        <w:pStyle w:val="21"/>
      </w:pPr>
      <w:r>
        <w:rPr>
          <w:rFonts w:hint="eastAsia" w:cs="Times New Roman"/>
        </w:rPr>
        <w:t>表</w:t>
      </w:r>
      <w:r>
        <w:rPr>
          <w:rFonts w:hint="default" w:cs="Times New Roman"/>
        </w:rPr>
        <w:t>3</w:t>
      </w:r>
      <w:r>
        <w:rPr>
          <w:rFonts w:hint="eastAsia" w:cs="Times New Roman"/>
        </w:rPr>
        <w:t>.2-</w:t>
      </w:r>
      <w:r>
        <w:rPr>
          <w:rFonts w:hint="default" w:cs="Times New Roman"/>
        </w:rPr>
        <w:t>2</w:t>
      </w:r>
      <w:r>
        <w:rPr>
          <w:rFonts w:hint="eastAsia" w:cs="Times New Roman"/>
        </w:rPr>
        <w:t>项目产品质量指标要求指标</w:t>
      </w:r>
    </w:p>
    <w:tbl>
      <w:tblPr>
        <w:tblStyle w:val="62"/>
        <w:tblW w:w="850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1"/>
        <w:gridCol w:w="1805"/>
        <w:gridCol w:w="1069"/>
        <w:gridCol w:w="764"/>
        <w:gridCol w:w="293"/>
        <w:gridCol w:w="541"/>
        <w:gridCol w:w="424"/>
        <w:gridCol w:w="358"/>
        <w:gridCol w:w="621"/>
        <w:gridCol w:w="309"/>
        <w:gridCol w:w="622"/>
        <w:gridCol w:w="160"/>
        <w:gridCol w:w="10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2286" w:type="dxa"/>
            <w:gridSpan w:val="2"/>
            <w:vMerge w:val="restart"/>
            <w:tcBorders>
              <w:left w:val="nil"/>
              <w:bottom w:val="nil"/>
            </w:tcBorders>
            <w:noWrap w:val="0"/>
            <w:vAlign w:val="top"/>
          </w:tcPr>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指标名称</w:t>
            </w:r>
          </w:p>
        </w:tc>
        <w:tc>
          <w:tcPr>
            <w:tcW w:w="1069" w:type="dxa"/>
            <w:vMerge w:val="restart"/>
            <w:tcBorders>
              <w:bottom w:val="nil"/>
            </w:tcBorders>
            <w:noWrap w:val="0"/>
            <w:vAlign w:val="top"/>
          </w:tcPr>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单位</w:t>
            </w:r>
          </w:p>
        </w:tc>
        <w:tc>
          <w:tcPr>
            <w:tcW w:w="5153" w:type="dxa"/>
            <w:gridSpan w:val="10"/>
            <w:tcBorders>
              <w:righ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2286" w:type="dxa"/>
            <w:gridSpan w:val="2"/>
            <w:vMerge w:val="continue"/>
            <w:tcBorders>
              <w:top w:val="nil"/>
              <w:left w:val="nil"/>
              <w:bottom w:val="nil"/>
            </w:tcBorders>
            <w:noWrap w:val="0"/>
            <w:vAlign w:val="top"/>
          </w:tcPr>
          <w:p>
            <w:pPr>
              <w:pStyle w:val="21"/>
              <w:rPr>
                <w:rFonts w:hint="eastAsia" w:ascii="宋体" w:hAnsi="宋体" w:eastAsia="宋体" w:cs="宋体"/>
                <w:b w:val="0"/>
                <w:bCs w:val="0"/>
              </w:rPr>
            </w:pPr>
          </w:p>
        </w:tc>
        <w:tc>
          <w:tcPr>
            <w:tcW w:w="1069" w:type="dxa"/>
            <w:vMerge w:val="continue"/>
            <w:tcBorders>
              <w:top w:val="nil"/>
              <w:bottom w:val="nil"/>
            </w:tcBorders>
            <w:noWrap w:val="0"/>
            <w:vAlign w:val="top"/>
          </w:tcPr>
          <w:p>
            <w:pPr>
              <w:pStyle w:val="21"/>
              <w:rPr>
                <w:rFonts w:hint="eastAsia" w:ascii="宋体" w:hAnsi="宋体" w:eastAsia="宋体" w:cs="宋体"/>
                <w:b w:val="0"/>
                <w:bCs w:val="0"/>
              </w:rPr>
            </w:pPr>
          </w:p>
        </w:tc>
        <w:tc>
          <w:tcPr>
            <w:tcW w:w="1598" w:type="dxa"/>
            <w:gridSpan w:val="3"/>
            <w:noWrap w:val="0"/>
            <w:vAlign w:val="top"/>
          </w:tcPr>
          <w:p>
            <w:pPr>
              <w:pStyle w:val="21"/>
              <w:rPr>
                <w:rFonts w:hint="eastAsia" w:ascii="宋体" w:hAnsi="宋体" w:eastAsia="宋体" w:cs="宋体"/>
                <w:b w:val="0"/>
                <w:bCs w:val="0"/>
              </w:rPr>
            </w:pPr>
            <w:r>
              <w:rPr>
                <w:rFonts w:hint="eastAsia" w:ascii="宋体" w:hAnsi="宋体" w:eastAsia="宋体" w:cs="宋体"/>
                <w:b w:val="0"/>
                <w:bCs w:val="0"/>
              </w:rPr>
              <w:t>优等品</w:t>
            </w:r>
          </w:p>
        </w:tc>
        <w:tc>
          <w:tcPr>
            <w:tcW w:w="1712" w:type="dxa"/>
            <w:gridSpan w:val="4"/>
            <w:noWrap w:val="0"/>
            <w:vAlign w:val="top"/>
          </w:tcPr>
          <w:p>
            <w:pPr>
              <w:pStyle w:val="21"/>
              <w:rPr>
                <w:rFonts w:hint="eastAsia" w:ascii="宋体" w:hAnsi="宋体" w:eastAsia="宋体" w:cs="宋体"/>
                <w:b w:val="0"/>
                <w:bCs w:val="0"/>
              </w:rPr>
            </w:pPr>
            <w:r>
              <w:rPr>
                <w:rFonts w:hint="eastAsia" w:ascii="宋体" w:hAnsi="宋体" w:eastAsia="宋体" w:cs="宋体"/>
                <w:b w:val="0"/>
                <w:bCs w:val="0"/>
              </w:rPr>
              <w:t>一等品</w:t>
            </w:r>
          </w:p>
        </w:tc>
        <w:tc>
          <w:tcPr>
            <w:tcW w:w="1843" w:type="dxa"/>
            <w:gridSpan w:val="3"/>
            <w:tcBorders>
              <w:righ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合格品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2286" w:type="dxa"/>
            <w:gridSpan w:val="2"/>
            <w:vMerge w:val="continue"/>
            <w:tcBorders>
              <w:top w:val="nil"/>
              <w:left w:val="nil"/>
            </w:tcBorders>
            <w:noWrap w:val="0"/>
            <w:vAlign w:val="top"/>
          </w:tcPr>
          <w:p>
            <w:pPr>
              <w:pStyle w:val="21"/>
              <w:rPr>
                <w:rFonts w:hint="eastAsia" w:ascii="宋体" w:hAnsi="宋体" w:eastAsia="宋体" w:cs="宋体"/>
                <w:b w:val="0"/>
                <w:bCs w:val="0"/>
              </w:rPr>
            </w:pPr>
          </w:p>
        </w:tc>
        <w:tc>
          <w:tcPr>
            <w:tcW w:w="1069" w:type="dxa"/>
            <w:vMerge w:val="continue"/>
            <w:tcBorders>
              <w:top w:val="nil"/>
            </w:tcBorders>
            <w:noWrap w:val="0"/>
            <w:vAlign w:val="top"/>
          </w:tcPr>
          <w:p>
            <w:pPr>
              <w:pStyle w:val="21"/>
              <w:rPr>
                <w:rFonts w:hint="eastAsia" w:ascii="宋体" w:hAnsi="宋体" w:eastAsia="宋体" w:cs="宋体"/>
                <w:b w:val="0"/>
                <w:bCs w:val="0"/>
              </w:rPr>
            </w:pPr>
          </w:p>
        </w:tc>
        <w:tc>
          <w:tcPr>
            <w:tcW w:w="764"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卫生</w:t>
            </w:r>
          </w:p>
          <w:p>
            <w:pPr>
              <w:pStyle w:val="21"/>
              <w:rPr>
                <w:rFonts w:hint="eastAsia" w:ascii="宋体" w:hAnsi="宋体" w:eastAsia="宋体" w:cs="宋体"/>
                <w:b w:val="0"/>
                <w:bCs w:val="0"/>
              </w:rPr>
            </w:pPr>
            <w:r>
              <w:rPr>
                <w:rFonts w:hint="eastAsia" w:ascii="宋体" w:hAnsi="宋体" w:eastAsia="宋体" w:cs="宋体"/>
                <w:b w:val="0"/>
                <w:bCs w:val="0"/>
              </w:rPr>
              <w:t>纸</w:t>
            </w:r>
          </w:p>
        </w:tc>
        <w:tc>
          <w:tcPr>
            <w:tcW w:w="834" w:type="dxa"/>
            <w:gridSpan w:val="2"/>
            <w:noWrap w:val="0"/>
            <w:vAlign w:val="top"/>
          </w:tcPr>
          <w:p>
            <w:pPr>
              <w:pStyle w:val="21"/>
              <w:rPr>
                <w:rFonts w:hint="eastAsia" w:ascii="宋体" w:hAnsi="宋体" w:eastAsia="宋体" w:cs="宋体"/>
                <w:b w:val="0"/>
                <w:bCs w:val="0"/>
              </w:rPr>
            </w:pPr>
            <w:r>
              <w:rPr>
                <w:rFonts w:hint="eastAsia" w:ascii="宋体" w:hAnsi="宋体" w:eastAsia="宋体" w:cs="宋体"/>
                <w:b w:val="0"/>
                <w:bCs w:val="0"/>
              </w:rPr>
              <w:t>卫生纸原纸</w:t>
            </w:r>
          </w:p>
        </w:tc>
        <w:tc>
          <w:tcPr>
            <w:tcW w:w="782" w:type="dxa"/>
            <w:gridSpan w:val="2"/>
            <w:noWrap w:val="0"/>
            <w:vAlign w:val="top"/>
          </w:tcPr>
          <w:p>
            <w:pPr>
              <w:pStyle w:val="21"/>
              <w:rPr>
                <w:rFonts w:hint="eastAsia" w:ascii="宋体" w:hAnsi="宋体" w:eastAsia="宋体" w:cs="宋体"/>
                <w:b w:val="0"/>
                <w:bCs w:val="0"/>
              </w:rPr>
            </w:pPr>
            <w:r>
              <w:rPr>
                <w:rFonts w:hint="eastAsia" w:ascii="宋体" w:hAnsi="宋体" w:eastAsia="宋体" w:cs="宋体"/>
                <w:b w:val="0"/>
                <w:bCs w:val="0"/>
              </w:rPr>
              <w:t>卫生</w:t>
            </w:r>
          </w:p>
          <w:p>
            <w:pPr>
              <w:pStyle w:val="21"/>
              <w:rPr>
                <w:rFonts w:hint="eastAsia" w:ascii="宋体" w:hAnsi="宋体" w:eastAsia="宋体" w:cs="宋体"/>
                <w:b w:val="0"/>
                <w:bCs w:val="0"/>
              </w:rPr>
            </w:pPr>
            <w:r>
              <w:rPr>
                <w:rFonts w:hint="eastAsia" w:ascii="宋体" w:hAnsi="宋体" w:eastAsia="宋体" w:cs="宋体"/>
                <w:b w:val="0"/>
                <w:bCs w:val="0"/>
              </w:rPr>
              <w:t>纸</w:t>
            </w:r>
          </w:p>
        </w:tc>
        <w:tc>
          <w:tcPr>
            <w:tcW w:w="930" w:type="dxa"/>
            <w:gridSpan w:val="2"/>
            <w:noWrap w:val="0"/>
            <w:vAlign w:val="top"/>
          </w:tcPr>
          <w:p>
            <w:pPr>
              <w:pStyle w:val="21"/>
              <w:rPr>
                <w:rFonts w:hint="eastAsia" w:ascii="宋体" w:hAnsi="宋体" w:eastAsia="宋体" w:cs="宋体"/>
                <w:b w:val="0"/>
                <w:bCs w:val="0"/>
              </w:rPr>
            </w:pPr>
            <w:r>
              <w:rPr>
                <w:rFonts w:hint="eastAsia" w:ascii="宋体" w:hAnsi="宋体" w:eastAsia="宋体" w:cs="宋体"/>
                <w:b w:val="0"/>
                <w:bCs w:val="0"/>
              </w:rPr>
              <w:t>卫生纸原纸</w:t>
            </w:r>
          </w:p>
        </w:tc>
        <w:tc>
          <w:tcPr>
            <w:tcW w:w="782" w:type="dxa"/>
            <w:gridSpan w:val="2"/>
            <w:noWrap w:val="0"/>
            <w:vAlign w:val="top"/>
          </w:tcPr>
          <w:p>
            <w:pPr>
              <w:pStyle w:val="21"/>
              <w:rPr>
                <w:rFonts w:hint="eastAsia" w:ascii="宋体" w:hAnsi="宋体" w:eastAsia="宋体" w:cs="宋体"/>
                <w:b w:val="0"/>
                <w:bCs w:val="0"/>
              </w:rPr>
            </w:pPr>
            <w:r>
              <w:rPr>
                <w:rFonts w:hint="eastAsia" w:ascii="宋体" w:hAnsi="宋体" w:eastAsia="宋体" w:cs="宋体"/>
                <w:b w:val="0"/>
                <w:bCs w:val="0"/>
              </w:rPr>
              <w:t>卫生</w:t>
            </w:r>
          </w:p>
          <w:p>
            <w:pPr>
              <w:pStyle w:val="21"/>
              <w:rPr>
                <w:rFonts w:hint="eastAsia" w:ascii="宋体" w:hAnsi="宋体" w:eastAsia="宋体" w:cs="宋体"/>
                <w:b w:val="0"/>
                <w:bCs w:val="0"/>
              </w:rPr>
            </w:pPr>
            <w:r>
              <w:rPr>
                <w:rFonts w:hint="eastAsia" w:ascii="宋体" w:hAnsi="宋体" w:eastAsia="宋体" w:cs="宋体"/>
                <w:b w:val="0"/>
                <w:bCs w:val="0"/>
              </w:rPr>
              <w:t>纸</w:t>
            </w:r>
          </w:p>
        </w:tc>
        <w:tc>
          <w:tcPr>
            <w:tcW w:w="1061" w:type="dxa"/>
            <w:tcBorders>
              <w:righ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卫生纸原纸</w:t>
            </w:r>
          </w:p>
        </w:tc>
      </w:tr>
      <w:tr>
        <w:tblPrEx>
          <w:tblCellMar>
            <w:top w:w="0" w:type="dxa"/>
            <w:left w:w="0" w:type="dxa"/>
            <w:bottom w:w="0" w:type="dxa"/>
            <w:right w:w="0" w:type="dxa"/>
          </w:tblCellMar>
        </w:tblPrEx>
        <w:trPr>
          <w:trHeight w:val="729" w:hRule="atLeast"/>
          <w:jc w:val="center"/>
        </w:trPr>
        <w:tc>
          <w:tcPr>
            <w:tcW w:w="2286" w:type="dxa"/>
            <w:gridSpan w:val="2"/>
            <w:tcBorders>
              <w:lef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定量a</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g/m2</w:t>
            </w:r>
          </w:p>
        </w:tc>
        <w:tc>
          <w:tcPr>
            <w:tcW w:w="1057" w:type="dxa"/>
            <w:gridSpan w:val="2"/>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12.0±1.022.0±1.0</w:t>
            </w:r>
          </w:p>
        </w:tc>
        <w:tc>
          <w:tcPr>
            <w:tcW w:w="965" w:type="dxa"/>
            <w:gridSpan w:val="2"/>
            <w:tcBorders>
              <w:left w:val="nil"/>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14.0±1.024.0±1.0</w:t>
            </w:r>
          </w:p>
        </w:tc>
        <w:tc>
          <w:tcPr>
            <w:tcW w:w="979" w:type="dxa"/>
            <w:gridSpan w:val="2"/>
            <w:tcBorders>
              <w:left w:val="nil"/>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16.0±1.028.0±1.045.0±1.0</w:t>
            </w:r>
          </w:p>
        </w:tc>
        <w:tc>
          <w:tcPr>
            <w:tcW w:w="931" w:type="dxa"/>
            <w:gridSpan w:val="2"/>
            <w:tcBorders>
              <w:left w:val="nil"/>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18.0±1.033.0±1.0</w:t>
            </w:r>
          </w:p>
        </w:tc>
        <w:tc>
          <w:tcPr>
            <w:tcW w:w="1221" w:type="dxa"/>
            <w:gridSpan w:val="2"/>
            <w:tcBorders>
              <w:left w:val="nil"/>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20.0±1.0</w:t>
            </w:r>
          </w:p>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39.0±1.0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2286" w:type="dxa"/>
            <w:gridSpan w:val="2"/>
            <w:tcBorders>
              <w:lef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D65亮度b</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w:t>
            </w: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2286" w:type="dxa"/>
            <w:gridSpan w:val="2"/>
            <w:tcBorders>
              <w:left w:val="nil"/>
            </w:tcBorders>
            <w:noWrap w:val="0"/>
            <w:vAlign w:val="top"/>
          </w:tcPr>
          <w:p>
            <w:pPr>
              <w:pStyle w:val="21"/>
              <w:rPr>
                <w:rFonts w:hint="eastAsia" w:ascii="宋体" w:hAnsi="宋体" w:eastAsia="宋体" w:cs="宋体"/>
                <w:b w:val="0"/>
                <w:bCs w:val="0"/>
                <w:lang w:eastAsia="zh-CN"/>
              </w:rPr>
            </w:pPr>
            <w:r>
              <w:rPr>
                <w:rFonts w:hint="eastAsia" w:ascii="宋体" w:hAnsi="宋体" w:eastAsia="宋体" w:cs="宋体"/>
                <w:b w:val="0"/>
                <w:bCs w:val="0"/>
              </w:rPr>
              <w:t>横向吸液高度</w:t>
            </w:r>
            <w:r>
              <w:rPr>
                <w:rFonts w:hint="eastAsia" w:ascii="宋体" w:hAnsi="宋体" w:cs="宋体"/>
                <w:b w:val="0"/>
                <w:bCs w:val="0"/>
                <w:lang w:eastAsia="zh-CN"/>
              </w:rPr>
              <w:t>（</w:t>
            </w:r>
            <w:r>
              <w:rPr>
                <w:rFonts w:hint="eastAsia" w:ascii="宋体" w:hAnsi="宋体" w:eastAsia="宋体" w:cs="宋体"/>
                <w:b w:val="0"/>
                <w:bCs w:val="0"/>
              </w:rPr>
              <w:t>成品层</w:t>
            </w:r>
            <w:r>
              <w:rPr>
                <w:rFonts w:hint="eastAsia" w:ascii="宋体" w:hAnsi="宋体" w:cs="宋体"/>
                <w:b w:val="0"/>
                <w:bCs w:val="0"/>
                <w:lang w:eastAsia="zh-CN"/>
              </w:rPr>
              <w:t>）</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mm/100s</w:t>
            </w:r>
          </w:p>
        </w:tc>
        <w:tc>
          <w:tcPr>
            <w:tcW w:w="1598" w:type="dxa"/>
            <w:gridSpan w:val="3"/>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≥40</w:t>
            </w:r>
          </w:p>
        </w:tc>
        <w:tc>
          <w:tcPr>
            <w:tcW w:w="1712" w:type="dxa"/>
            <w:gridSpan w:val="4"/>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≥30</w:t>
            </w:r>
          </w:p>
        </w:tc>
        <w:tc>
          <w:tcPr>
            <w:tcW w:w="1843" w:type="dxa"/>
            <w:gridSpan w:val="3"/>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restart"/>
            <w:tcBorders>
              <w:left w:val="nil"/>
              <w:bottom w:val="nil"/>
            </w:tcBorders>
            <w:noWrap w:val="0"/>
            <w:textDirection w:val="tbRlV"/>
            <w:vAlign w:val="top"/>
          </w:tcPr>
          <w:p>
            <w:pPr>
              <w:pStyle w:val="21"/>
              <w:rPr>
                <w:rFonts w:hint="eastAsia" w:ascii="宋体" w:hAnsi="宋体" w:eastAsia="宋体" w:cs="宋体"/>
                <w:b w:val="0"/>
                <w:bCs w:val="0"/>
              </w:rPr>
            </w:pPr>
            <w:r>
              <w:rPr>
                <w:rFonts w:hint="eastAsia" w:ascii="宋体" w:hAnsi="宋体" w:eastAsia="宋体" w:cs="宋体"/>
                <w:b w:val="0"/>
                <w:bCs w:val="0"/>
              </w:rPr>
              <w:t>抗张指数</w:t>
            </w: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纵向</w:t>
            </w:r>
          </w:p>
        </w:tc>
        <w:tc>
          <w:tcPr>
            <w:tcW w:w="1069" w:type="dxa"/>
            <w:vMerge w:val="restart"/>
            <w:tcBorders>
              <w:bottom w:val="nil"/>
            </w:tcBorders>
            <w:noWrap w:val="0"/>
            <w:vAlign w:val="top"/>
          </w:tcPr>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Nm/g</w:t>
            </w:r>
          </w:p>
        </w:tc>
        <w:tc>
          <w:tcPr>
            <w:tcW w:w="764" w:type="dxa"/>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≥4.50</w:t>
            </w:r>
          </w:p>
        </w:tc>
        <w:tc>
          <w:tcPr>
            <w:tcW w:w="834"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≥5.00</w:t>
            </w:r>
          </w:p>
        </w:tc>
        <w:tc>
          <w:tcPr>
            <w:tcW w:w="782"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≥3.50</w:t>
            </w:r>
          </w:p>
        </w:tc>
        <w:tc>
          <w:tcPr>
            <w:tcW w:w="930"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≥4.00</w:t>
            </w:r>
          </w:p>
        </w:tc>
        <w:tc>
          <w:tcPr>
            <w:tcW w:w="782"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≥2.30</w:t>
            </w:r>
          </w:p>
        </w:tc>
        <w:tc>
          <w:tcPr>
            <w:tcW w:w="1061" w:type="dxa"/>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81" w:type="dxa"/>
            <w:vMerge w:val="continue"/>
            <w:tcBorders>
              <w:top w:val="nil"/>
              <w:left w:val="nil"/>
            </w:tcBorders>
            <w:noWrap w:val="0"/>
            <w:textDirection w:val="tbRlV"/>
            <w:vAlign w:val="top"/>
          </w:tcPr>
          <w:p>
            <w:pPr>
              <w:pStyle w:val="21"/>
              <w:rPr>
                <w:rFonts w:hint="eastAsia" w:ascii="宋体" w:hAnsi="宋体" w:eastAsia="宋体" w:cs="宋体"/>
                <w:b w:val="0"/>
                <w:bCs w:val="0"/>
              </w:rPr>
            </w:pP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横向</w:t>
            </w:r>
          </w:p>
        </w:tc>
        <w:tc>
          <w:tcPr>
            <w:tcW w:w="1069" w:type="dxa"/>
            <w:vMerge w:val="continue"/>
            <w:tcBorders>
              <w:top w:val="nil"/>
            </w:tcBorders>
            <w:noWrap w:val="0"/>
            <w:vAlign w:val="top"/>
          </w:tcPr>
          <w:p>
            <w:pPr>
              <w:pStyle w:val="21"/>
              <w:rPr>
                <w:rFonts w:hint="eastAsia" w:ascii="宋体" w:hAnsi="宋体" w:eastAsia="宋体" w:cs="宋体"/>
                <w:b w:val="0"/>
                <w:bCs w:val="0"/>
              </w:rPr>
            </w:pPr>
          </w:p>
        </w:tc>
        <w:tc>
          <w:tcPr>
            <w:tcW w:w="764" w:type="dxa"/>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≥2.00</w:t>
            </w:r>
          </w:p>
        </w:tc>
        <w:tc>
          <w:tcPr>
            <w:tcW w:w="834"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≥2.50</w:t>
            </w:r>
          </w:p>
        </w:tc>
        <w:tc>
          <w:tcPr>
            <w:tcW w:w="782"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≥1.80</w:t>
            </w:r>
          </w:p>
        </w:tc>
        <w:tc>
          <w:tcPr>
            <w:tcW w:w="930"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≥2.30</w:t>
            </w:r>
          </w:p>
        </w:tc>
        <w:tc>
          <w:tcPr>
            <w:tcW w:w="782"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≥1.30</w:t>
            </w:r>
          </w:p>
        </w:tc>
        <w:tc>
          <w:tcPr>
            <w:tcW w:w="1061" w:type="dxa"/>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2286" w:type="dxa"/>
            <w:gridSpan w:val="2"/>
            <w:tcBorders>
              <w:left w:val="nil"/>
            </w:tcBorders>
            <w:noWrap w:val="0"/>
            <w:vAlign w:val="top"/>
          </w:tcPr>
          <w:p>
            <w:pPr>
              <w:pStyle w:val="21"/>
              <w:rPr>
                <w:rFonts w:hint="eastAsia" w:ascii="宋体" w:hAnsi="宋体" w:eastAsia="宋体" w:cs="宋体"/>
                <w:b w:val="0"/>
                <w:bCs w:val="0"/>
                <w:lang w:eastAsia="zh-CN"/>
              </w:rPr>
            </w:pPr>
            <w:r>
              <w:rPr>
                <w:rFonts w:hint="eastAsia" w:ascii="宋体" w:hAnsi="宋体" w:eastAsia="宋体" w:cs="宋体"/>
                <w:b w:val="0"/>
                <w:bCs w:val="0"/>
              </w:rPr>
              <w:t>柔软度</w:t>
            </w:r>
            <w:r>
              <w:rPr>
                <w:rFonts w:hint="eastAsia" w:ascii="宋体" w:hAnsi="宋体" w:cs="宋体"/>
                <w:b w:val="0"/>
                <w:bCs w:val="0"/>
                <w:lang w:eastAsia="zh-CN"/>
              </w:rPr>
              <w:t>（</w:t>
            </w:r>
            <w:r>
              <w:rPr>
                <w:rFonts w:hint="eastAsia" w:ascii="宋体" w:hAnsi="宋体" w:eastAsia="宋体" w:cs="宋体"/>
                <w:b w:val="0"/>
                <w:bCs w:val="0"/>
              </w:rPr>
              <w:t>成品层纵横平均</w:t>
            </w:r>
            <w:r>
              <w:rPr>
                <w:rFonts w:hint="eastAsia" w:ascii="宋体" w:hAnsi="宋体" w:cs="宋体"/>
                <w:b w:val="0"/>
                <w:bCs w:val="0"/>
                <w:lang w:eastAsia="zh-CN"/>
              </w:rPr>
              <w:t>）</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mN</w:t>
            </w:r>
          </w:p>
        </w:tc>
        <w:tc>
          <w:tcPr>
            <w:tcW w:w="764" w:type="dxa"/>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≤200</w:t>
            </w:r>
          </w:p>
        </w:tc>
        <w:tc>
          <w:tcPr>
            <w:tcW w:w="834"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≤170</w:t>
            </w:r>
          </w:p>
        </w:tc>
        <w:tc>
          <w:tcPr>
            <w:tcW w:w="782"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≤250</w:t>
            </w:r>
          </w:p>
        </w:tc>
        <w:tc>
          <w:tcPr>
            <w:tcW w:w="930"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≤220</w:t>
            </w:r>
          </w:p>
        </w:tc>
        <w:tc>
          <w:tcPr>
            <w:tcW w:w="782" w:type="dxa"/>
            <w:gridSpan w:val="2"/>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≤450</w:t>
            </w:r>
          </w:p>
        </w:tc>
        <w:tc>
          <w:tcPr>
            <w:tcW w:w="1061" w:type="dxa"/>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2286" w:type="dxa"/>
            <w:gridSpan w:val="2"/>
            <w:tcBorders>
              <w:lef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可迁移性荧光物质</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w:t>
            </w: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restart"/>
            <w:tcBorders>
              <w:left w:val="nil"/>
              <w:bottom w:val="nil"/>
            </w:tcBorders>
            <w:noWrap w:val="0"/>
            <w:vAlign w:val="top"/>
          </w:tcPr>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灰</w:t>
            </w:r>
          </w:p>
          <w:p>
            <w:pPr>
              <w:pStyle w:val="21"/>
              <w:rPr>
                <w:rFonts w:hint="eastAsia" w:ascii="宋体" w:hAnsi="宋体" w:eastAsia="宋体" w:cs="宋体"/>
                <w:b w:val="0"/>
                <w:bCs w:val="0"/>
              </w:rPr>
            </w:pPr>
            <w:r>
              <w:rPr>
                <w:rFonts w:hint="eastAsia" w:ascii="宋体" w:hAnsi="宋体" w:eastAsia="宋体" w:cs="宋体"/>
                <w:b w:val="0"/>
                <w:bCs w:val="0"/>
              </w:rPr>
              <w:t>分</w:t>
            </w:r>
          </w:p>
        </w:tc>
        <w:tc>
          <w:tcPr>
            <w:tcW w:w="1805" w:type="dxa"/>
            <w:noWrap w:val="0"/>
            <w:vAlign w:val="top"/>
          </w:tcPr>
          <w:p>
            <w:pPr>
              <w:pStyle w:val="21"/>
              <w:rPr>
                <w:rFonts w:hint="eastAsia" w:ascii="宋体" w:hAnsi="宋体" w:eastAsia="宋体" w:cs="宋体"/>
                <w:b w:val="0"/>
                <w:bCs w:val="0"/>
                <w:lang w:eastAsia="zh-CN"/>
              </w:rPr>
            </w:pPr>
            <w:r>
              <w:rPr>
                <w:rFonts w:hint="eastAsia" w:ascii="宋体" w:hAnsi="宋体" w:eastAsia="宋体" w:cs="宋体"/>
                <w:b w:val="0"/>
                <w:bCs w:val="0"/>
              </w:rPr>
              <w:t>原生木浆</w:t>
            </w:r>
            <w:r>
              <w:rPr>
                <w:rFonts w:hint="eastAsia" w:ascii="宋体" w:hAnsi="宋体" w:cs="宋体"/>
                <w:b w:val="0"/>
                <w:bCs w:val="0"/>
                <w:lang w:eastAsia="zh-CN"/>
              </w:rPr>
              <w:t>（</w:t>
            </w:r>
            <w:r>
              <w:rPr>
                <w:rFonts w:hint="eastAsia" w:ascii="宋体" w:hAnsi="宋体" w:eastAsia="宋体" w:cs="宋体"/>
                <w:b w:val="0"/>
                <w:bCs w:val="0"/>
              </w:rPr>
              <w:t>纤维</w:t>
            </w:r>
            <w:r>
              <w:rPr>
                <w:rFonts w:hint="eastAsia" w:ascii="宋体" w:hAnsi="宋体" w:cs="宋体"/>
                <w:b w:val="0"/>
                <w:bCs w:val="0"/>
                <w:lang w:eastAsia="zh-CN"/>
              </w:rPr>
              <w:t>）</w:t>
            </w:r>
          </w:p>
        </w:tc>
        <w:tc>
          <w:tcPr>
            <w:tcW w:w="1069" w:type="dxa"/>
            <w:vMerge w:val="restart"/>
            <w:tcBorders>
              <w:bottom w:val="nil"/>
            </w:tcBorders>
            <w:noWrap w:val="0"/>
            <w:vAlign w:val="top"/>
          </w:tcPr>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w:t>
            </w: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bottom w:val="nil"/>
            </w:tcBorders>
            <w:noWrap w:val="0"/>
            <w:vAlign w:val="top"/>
          </w:tcPr>
          <w:p>
            <w:pPr>
              <w:pStyle w:val="21"/>
              <w:rPr>
                <w:rFonts w:hint="eastAsia" w:ascii="宋体" w:hAnsi="宋体" w:eastAsia="宋体" w:cs="宋体"/>
                <w:b w:val="0"/>
                <w:bCs w:val="0"/>
              </w:rPr>
            </w:pPr>
          </w:p>
        </w:tc>
        <w:tc>
          <w:tcPr>
            <w:tcW w:w="1805" w:type="dxa"/>
            <w:noWrap w:val="0"/>
            <w:vAlign w:val="top"/>
          </w:tcPr>
          <w:p>
            <w:pPr>
              <w:pStyle w:val="21"/>
              <w:rPr>
                <w:rFonts w:hint="eastAsia" w:ascii="宋体" w:hAnsi="宋体" w:eastAsia="宋体" w:cs="宋体"/>
                <w:b w:val="0"/>
                <w:bCs w:val="0"/>
                <w:lang w:eastAsia="zh-CN"/>
              </w:rPr>
            </w:pPr>
            <w:r>
              <w:rPr>
                <w:rFonts w:hint="eastAsia" w:ascii="宋体" w:hAnsi="宋体" w:eastAsia="宋体" w:cs="宋体"/>
                <w:b w:val="0"/>
                <w:bCs w:val="0"/>
              </w:rPr>
              <w:t>原生非木浆</w:t>
            </w:r>
            <w:r>
              <w:rPr>
                <w:rFonts w:hint="eastAsia" w:ascii="宋体" w:hAnsi="宋体" w:cs="宋体"/>
                <w:b w:val="0"/>
                <w:bCs w:val="0"/>
                <w:lang w:eastAsia="zh-CN"/>
              </w:rPr>
              <w:t>（</w:t>
            </w:r>
            <w:r>
              <w:rPr>
                <w:rFonts w:hint="eastAsia" w:ascii="宋体" w:hAnsi="宋体" w:eastAsia="宋体" w:cs="宋体"/>
                <w:b w:val="0"/>
                <w:bCs w:val="0"/>
              </w:rPr>
              <w:t>纤维</w:t>
            </w:r>
            <w:r>
              <w:rPr>
                <w:rFonts w:hint="eastAsia" w:ascii="宋体" w:hAnsi="宋体" w:cs="宋体"/>
                <w:b w:val="0"/>
                <w:bCs w:val="0"/>
                <w:lang w:eastAsia="zh-CN"/>
              </w:rPr>
              <w:t>）</w:t>
            </w:r>
          </w:p>
        </w:tc>
        <w:tc>
          <w:tcPr>
            <w:tcW w:w="1069" w:type="dxa"/>
            <w:vMerge w:val="continue"/>
            <w:tcBorders>
              <w:top w:val="nil"/>
              <w:bottom w:val="nil"/>
            </w:tcBorders>
            <w:noWrap w:val="0"/>
            <w:vAlign w:val="top"/>
          </w:tcPr>
          <w:p>
            <w:pPr>
              <w:pStyle w:val="21"/>
              <w:rPr>
                <w:rFonts w:hint="eastAsia" w:ascii="宋体" w:hAnsi="宋体" w:eastAsia="宋体" w:cs="宋体"/>
                <w:b w:val="0"/>
                <w:bCs w:val="0"/>
              </w:rPr>
            </w:pP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tcBorders>
            <w:noWrap w:val="0"/>
            <w:vAlign w:val="top"/>
          </w:tcPr>
          <w:p>
            <w:pPr>
              <w:pStyle w:val="21"/>
              <w:rPr>
                <w:rFonts w:hint="eastAsia" w:ascii="宋体" w:hAnsi="宋体" w:eastAsia="宋体" w:cs="宋体"/>
                <w:b w:val="0"/>
                <w:bCs w:val="0"/>
              </w:rPr>
            </w:pPr>
          </w:p>
        </w:tc>
        <w:tc>
          <w:tcPr>
            <w:tcW w:w="1805" w:type="dxa"/>
            <w:noWrap w:val="0"/>
            <w:vAlign w:val="top"/>
          </w:tcPr>
          <w:p>
            <w:pPr>
              <w:pStyle w:val="21"/>
              <w:rPr>
                <w:rFonts w:hint="eastAsia" w:ascii="宋体" w:hAnsi="宋体" w:eastAsia="宋体" w:cs="宋体"/>
                <w:b w:val="0"/>
                <w:bCs w:val="0"/>
                <w:lang w:eastAsia="zh-CN"/>
              </w:rPr>
            </w:pPr>
            <w:r>
              <w:rPr>
                <w:rFonts w:hint="eastAsia" w:ascii="宋体" w:hAnsi="宋体" w:eastAsia="宋体" w:cs="宋体"/>
                <w:b w:val="0"/>
                <w:bCs w:val="0"/>
              </w:rPr>
              <w:t>原生混合浆</w:t>
            </w:r>
            <w:r>
              <w:rPr>
                <w:rFonts w:hint="eastAsia" w:ascii="宋体" w:hAnsi="宋体" w:cs="宋体"/>
                <w:b w:val="0"/>
                <w:bCs w:val="0"/>
                <w:lang w:eastAsia="zh-CN"/>
              </w:rPr>
              <w:t>（</w:t>
            </w:r>
            <w:r>
              <w:rPr>
                <w:rFonts w:hint="eastAsia" w:ascii="宋体" w:hAnsi="宋体" w:eastAsia="宋体" w:cs="宋体"/>
                <w:b w:val="0"/>
                <w:bCs w:val="0"/>
              </w:rPr>
              <w:t>纤维</w:t>
            </w:r>
            <w:r>
              <w:rPr>
                <w:rFonts w:hint="eastAsia" w:ascii="宋体" w:hAnsi="宋体" w:cs="宋体"/>
                <w:b w:val="0"/>
                <w:bCs w:val="0"/>
                <w:lang w:eastAsia="zh-CN"/>
              </w:rPr>
              <w:t>）</w:t>
            </w:r>
          </w:p>
        </w:tc>
        <w:tc>
          <w:tcPr>
            <w:tcW w:w="1069" w:type="dxa"/>
            <w:vMerge w:val="continue"/>
            <w:tcBorders>
              <w:top w:val="nil"/>
            </w:tcBorders>
            <w:noWrap w:val="0"/>
            <w:vAlign w:val="top"/>
          </w:tcPr>
          <w:p>
            <w:pPr>
              <w:pStyle w:val="21"/>
              <w:rPr>
                <w:rFonts w:hint="eastAsia" w:ascii="宋体" w:hAnsi="宋体" w:eastAsia="宋体" w:cs="宋体"/>
                <w:b w:val="0"/>
                <w:bCs w:val="0"/>
              </w:rPr>
            </w:pP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2286" w:type="dxa"/>
            <w:gridSpan w:val="2"/>
            <w:tcBorders>
              <w:left w:val="nil"/>
            </w:tcBorders>
            <w:noWrap w:val="0"/>
            <w:vAlign w:val="top"/>
          </w:tcPr>
          <w:p>
            <w:pPr>
              <w:pStyle w:val="21"/>
              <w:rPr>
                <w:rFonts w:hint="eastAsia" w:ascii="宋体" w:hAnsi="宋体" w:eastAsia="宋体" w:cs="宋体"/>
                <w:b w:val="0"/>
                <w:bCs w:val="0"/>
                <w:lang w:eastAsia="zh-CN"/>
              </w:rPr>
            </w:pPr>
            <w:r>
              <w:rPr>
                <w:rFonts w:hint="eastAsia" w:ascii="宋体" w:hAnsi="宋体" w:eastAsia="宋体" w:cs="宋体"/>
                <w:b w:val="0"/>
                <w:bCs w:val="0"/>
              </w:rPr>
              <w:t>球形耐破度</w:t>
            </w:r>
            <w:r>
              <w:rPr>
                <w:rFonts w:hint="eastAsia" w:ascii="宋体" w:hAnsi="宋体" w:cs="宋体"/>
                <w:b w:val="0"/>
                <w:bCs w:val="0"/>
                <w:lang w:eastAsia="zh-CN"/>
              </w:rPr>
              <w:t>（</w:t>
            </w:r>
            <w:r>
              <w:rPr>
                <w:rFonts w:hint="eastAsia" w:ascii="宋体" w:hAnsi="宋体" w:eastAsia="宋体" w:cs="宋体"/>
                <w:b w:val="0"/>
                <w:bCs w:val="0"/>
              </w:rPr>
              <w:t>成品层</w:t>
            </w:r>
            <w:r>
              <w:rPr>
                <w:rFonts w:hint="eastAsia" w:ascii="宋体" w:hAnsi="宋体" w:cs="宋体"/>
                <w:b w:val="0"/>
                <w:bCs w:val="0"/>
                <w:lang w:eastAsia="zh-CN"/>
              </w:rPr>
              <w:t>）</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N</w:t>
            </w: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2286" w:type="dxa"/>
            <w:gridSpan w:val="2"/>
            <w:tcBorders>
              <w:lef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可分散性c</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w:t>
            </w: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2286" w:type="dxa"/>
            <w:gridSpan w:val="2"/>
            <w:tcBorders>
              <w:left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掉粉率d</w:t>
            </w:r>
          </w:p>
        </w:tc>
        <w:tc>
          <w:tcPr>
            <w:tcW w:w="1069"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w:t>
            </w: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restart"/>
            <w:tcBorders>
              <w:left w:val="nil"/>
              <w:bottom w:val="nil"/>
            </w:tcBorders>
            <w:noWrap w:val="0"/>
            <w:vAlign w:val="top"/>
          </w:tcPr>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洞</w:t>
            </w:r>
          </w:p>
          <w:p>
            <w:pPr>
              <w:pStyle w:val="21"/>
              <w:rPr>
                <w:rFonts w:hint="eastAsia" w:ascii="宋体" w:hAnsi="宋体" w:eastAsia="宋体" w:cs="宋体"/>
                <w:b w:val="0"/>
                <w:bCs w:val="0"/>
              </w:rPr>
            </w:pPr>
            <w:r>
              <w:rPr>
                <w:rFonts w:hint="eastAsia" w:ascii="宋体" w:hAnsi="宋体" w:eastAsia="宋体" w:cs="宋体"/>
                <w:b w:val="0"/>
                <w:bCs w:val="0"/>
              </w:rPr>
              <w:t>眼</w:t>
            </w: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总数</w:t>
            </w:r>
          </w:p>
        </w:tc>
        <w:tc>
          <w:tcPr>
            <w:tcW w:w="1069" w:type="dxa"/>
            <w:vMerge w:val="restart"/>
            <w:tcBorders>
              <w:bottom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mc:AlternateContent>
                <mc:Choice Requires="wps">
                  <w:drawing>
                    <wp:anchor distT="0" distB="0" distL="114300" distR="114300" simplePos="0" relativeHeight="251664384" behindDoc="0" locked="0" layoutInCell="1" allowOverlap="1">
                      <wp:simplePos x="0" y="0"/>
                      <wp:positionH relativeFrom="page">
                        <wp:posOffset>107950</wp:posOffset>
                      </wp:positionH>
                      <wp:positionV relativeFrom="page">
                        <wp:posOffset>356235</wp:posOffset>
                      </wp:positionV>
                      <wp:extent cx="191770" cy="20447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91770" cy="204470"/>
                              </a:xfrm>
                              <a:prstGeom prst="rect">
                                <a:avLst/>
                              </a:prstGeom>
                              <a:noFill/>
                              <a:ln>
                                <a:noFill/>
                              </a:ln>
                            </wps:spPr>
                            <wps:txbx>
                              <w:txbxContent>
                                <w:p>
                                  <w:pPr>
                                    <w:spacing w:before="20" w:line="281" w:lineRule="exact"/>
                                    <w:ind w:left="20"/>
                                    <w:rPr>
                                      <w:rFonts w:ascii="Times New Roman" w:hAnsi="Times New Roman" w:eastAsia="Times New Roman" w:cs="Times New Roman"/>
                                      <w:sz w:val="20"/>
                                      <w:szCs w:val="20"/>
                                    </w:rPr>
                                  </w:pPr>
                                  <w:r>
                                    <w:rPr>
                                      <w:rFonts w:ascii="宋体" w:hAnsi="宋体" w:eastAsia="宋体" w:cs="宋体"/>
                                      <w:spacing w:val="3"/>
                                      <w:position w:val="1"/>
                                      <w:sz w:val="20"/>
                                      <w:szCs w:val="20"/>
                                    </w:rPr>
                                    <w:t>个</w:t>
                                  </w:r>
                                  <w:r>
                                    <w:rPr>
                                      <w:rFonts w:ascii="Times New Roman" w:hAnsi="Times New Roman" w:eastAsia="Times New Roman" w:cs="Times New Roman"/>
                                      <w:spacing w:val="3"/>
                                      <w:position w:val="1"/>
                                      <w:sz w:val="20"/>
                                      <w:szCs w:val="20"/>
                                    </w:rPr>
                                    <w:t>/</w:t>
                                  </w:r>
                                </w:p>
                              </w:txbxContent>
                            </wps:txbx>
                            <wps:bodyPr lIns="0" tIns="0" rIns="0" bIns="0" upright="1"/>
                          </wps:wsp>
                        </a:graphicData>
                      </a:graphic>
                    </wp:anchor>
                  </w:drawing>
                </mc:Choice>
                <mc:Fallback>
                  <w:pict>
                    <v:shape id="_x0000_s1026" o:spid="_x0000_s1026" o:spt="202" type="#_x0000_t202" style="position:absolute;left:0pt;margin-left:8.5pt;margin-top:28.05pt;height:16.1pt;width:15.1pt;mso-position-horizontal-relative:page;mso-position-vertical-relative:page;z-index:251664384;mso-width-relative:page;mso-height-relative:page;" filled="f" stroked="f" coordsize="21600,21600" o:gfxdata="UEsDBAoAAAAAAIdO4kAAAAAAAAAAAAAAAAAEAAAAZHJzL1BLAwQUAAAACACHTuJAr3m0d9YAAAAH&#10;AQAADwAAAGRycy9kb3ducmV2LnhtbE2PzU7DMBCE70i8g7VI3KidAmkIcSqE4ISESMOBoxNvk6jx&#10;OsTuD2/PcirH0YxmvinWJzeKA85h8KQhWSgQSK23A3UaPuvXmwxEiIasGT2hhh8MsC4vLwqTW3+k&#10;Cg+b2AkuoZAbDX2MUy5laHt0Jiz8hMTe1s/ORJZzJ+1sjlzuRrlUKpXODMQLvZnwucd2t9k7DU9f&#10;VL0M3+/NR7Wthrp+UPSW7rS+vkrUI4iIp3gOwx8+o0PJTI3fkw1iZL3iK1HDfZqAYP9utQTRaMiy&#10;W5BlIf/zl79QSwMEFAAAAAgAh07iQDsgOtC5AQAAcwMAAA4AAABkcnMvZTJvRG9jLnhtbK1TwW4T&#10;MRC9I/UfLN+JN1FpYZVNJRS1QqoAqeUDHK+dtWR7LNvJbn4A/oATF+58V76DsTebQrn0wMU7nhm/&#10;mfdmdnkzWEP2MkQNrqHzWUWJdAJa7bYN/fJ4+/otJTFx13IDTjb0ICO9WV28Wva+lgvowLQyEARx&#10;se59Q7uUfM1YFJ20PM7AS4dBBcHyhNewZW3gPaJbwxZVdcV6CK0PIGSM6F2PQXpCDC8BBKW0kGsQ&#10;OytdGlGDNDwhpdhpH+mqdKuUFOmTUlEmYhqKTFM5sQjam3yy1ZLX28B9p8WpBf6SFp5xslw7LHqG&#10;WvPEyS7of6CsFgEiqDQTYNlIpCiCLObVM20eOu5l4YJSR38WPf4/WPFx/zkQ3eImvKHEcYsTP37/&#10;dvzx6/jzK0EfCtT7WGPeg8fMNLyHAZMnf0Rn5j2oYPMXGRGMo7yHs7xySETkR+/m19cYERhaVJeX&#10;aCM6e3rsQ0x3EizJRkMDTq+Iyvf3MY2pU0qu5eBWG1MmaNxfDsTMHpY7HzvMVho2w4nOBtoDsjEf&#10;HGqZ92IywmRsJmPng9522E7hXCBxFqXv097kYf95L4Wf/pX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95tHfWAAAABwEAAA8AAAAAAAAAAQAgAAAAIgAAAGRycy9kb3ducmV2LnhtbFBLAQIUABQA&#10;AAAIAIdO4kA7IDrQuQEAAHMDAAAOAAAAAAAAAAEAIAAAACUBAABkcnMvZTJvRG9jLnhtbFBLBQYA&#10;AAAABgAGAFkBAABQBQAAAAA=&#10;">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宋体" w:hAnsi="宋体" w:eastAsia="宋体" w:cs="宋体"/>
                                <w:spacing w:val="3"/>
                                <w:position w:val="1"/>
                                <w:sz w:val="20"/>
                                <w:szCs w:val="20"/>
                              </w:rPr>
                              <w:t>个</w:t>
                            </w:r>
                            <w:r>
                              <w:rPr>
                                <w:rFonts w:ascii="Times New Roman" w:hAnsi="Times New Roman" w:eastAsia="Times New Roman" w:cs="Times New Roman"/>
                                <w:spacing w:val="3"/>
                                <w:position w:val="1"/>
                                <w:sz w:val="20"/>
                                <w:szCs w:val="20"/>
                              </w:rPr>
                              <w:t>/</w:t>
                            </w:r>
                          </w:p>
                        </w:txbxContent>
                      </v:textbox>
                    </v:shape>
                  </w:pict>
                </mc:Fallback>
              </mc:AlternateContent>
            </w:r>
          </w:p>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m</w:t>
            </w:r>
            <w:r>
              <w:rPr>
                <w:rFonts w:hint="eastAsia" w:ascii="宋体" w:hAnsi="宋体" w:eastAsia="宋体" w:cs="宋体"/>
                <w:b w:val="0"/>
                <w:bCs w:val="0"/>
                <w:sz w:val="21"/>
                <w:szCs w:val="21"/>
                <w:lang w:val="en-US" w:eastAsia="zh-Hans"/>
              </w:rPr>
              <w:t>²</w:t>
            </w:r>
          </w:p>
        </w:tc>
        <w:tc>
          <w:tcPr>
            <w:tcW w:w="1598" w:type="dxa"/>
            <w:gridSpan w:val="3"/>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≤6</w:t>
            </w:r>
          </w:p>
        </w:tc>
        <w:tc>
          <w:tcPr>
            <w:tcW w:w="1712" w:type="dxa"/>
            <w:gridSpan w:val="4"/>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w:t>
            </w:r>
          </w:p>
        </w:tc>
        <w:tc>
          <w:tcPr>
            <w:tcW w:w="1843" w:type="dxa"/>
            <w:gridSpan w:val="3"/>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bottom w:val="nil"/>
            </w:tcBorders>
            <w:noWrap w:val="0"/>
            <w:vAlign w:val="top"/>
          </w:tcPr>
          <w:p>
            <w:pPr>
              <w:pStyle w:val="21"/>
              <w:rPr>
                <w:rFonts w:hint="eastAsia" w:ascii="宋体" w:hAnsi="宋体" w:eastAsia="宋体" w:cs="宋体"/>
                <w:b w:val="0"/>
                <w:bCs w:val="0"/>
              </w:rPr>
            </w:pP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2mm-5mm</w:t>
            </w:r>
          </w:p>
        </w:tc>
        <w:tc>
          <w:tcPr>
            <w:tcW w:w="1069" w:type="dxa"/>
            <w:vMerge w:val="continue"/>
            <w:tcBorders>
              <w:top w:val="nil"/>
              <w:bottom w:val="nil"/>
            </w:tcBorders>
            <w:noWrap w:val="0"/>
            <w:vAlign w:val="top"/>
          </w:tcPr>
          <w:p>
            <w:pPr>
              <w:pStyle w:val="21"/>
              <w:rPr>
                <w:rFonts w:hint="eastAsia" w:ascii="宋体" w:hAnsi="宋体" w:eastAsia="宋体" w:cs="宋体"/>
                <w:b w:val="0"/>
                <w:bCs w:val="0"/>
              </w:rPr>
            </w:pPr>
          </w:p>
        </w:tc>
        <w:tc>
          <w:tcPr>
            <w:tcW w:w="1598" w:type="dxa"/>
            <w:gridSpan w:val="3"/>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≤6</w:t>
            </w:r>
          </w:p>
        </w:tc>
        <w:tc>
          <w:tcPr>
            <w:tcW w:w="1712" w:type="dxa"/>
            <w:gridSpan w:val="4"/>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w:t>
            </w:r>
          </w:p>
        </w:tc>
        <w:tc>
          <w:tcPr>
            <w:tcW w:w="1843" w:type="dxa"/>
            <w:gridSpan w:val="3"/>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bottom w:val="nil"/>
            </w:tcBorders>
            <w:noWrap w:val="0"/>
            <w:vAlign w:val="top"/>
          </w:tcPr>
          <w:p>
            <w:pPr>
              <w:pStyle w:val="21"/>
              <w:rPr>
                <w:rFonts w:hint="eastAsia" w:ascii="宋体" w:hAnsi="宋体" w:eastAsia="宋体" w:cs="宋体"/>
                <w:b w:val="0"/>
                <w:bCs w:val="0"/>
              </w:rPr>
            </w:pP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＞5mm-8mm</w:t>
            </w:r>
          </w:p>
        </w:tc>
        <w:tc>
          <w:tcPr>
            <w:tcW w:w="1069" w:type="dxa"/>
            <w:vMerge w:val="continue"/>
            <w:tcBorders>
              <w:top w:val="nil"/>
              <w:bottom w:val="nil"/>
            </w:tcBorders>
            <w:noWrap w:val="0"/>
            <w:vAlign w:val="top"/>
          </w:tcPr>
          <w:p>
            <w:pPr>
              <w:pStyle w:val="21"/>
              <w:rPr>
                <w:rFonts w:hint="eastAsia" w:ascii="宋体" w:hAnsi="宋体" w:eastAsia="宋体" w:cs="宋体"/>
                <w:b w:val="0"/>
                <w:bCs w:val="0"/>
              </w:rPr>
            </w:pPr>
          </w:p>
        </w:tc>
        <w:tc>
          <w:tcPr>
            <w:tcW w:w="1598" w:type="dxa"/>
            <w:gridSpan w:val="3"/>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w:t>
            </w:r>
          </w:p>
        </w:tc>
        <w:tc>
          <w:tcPr>
            <w:tcW w:w="1712" w:type="dxa"/>
            <w:gridSpan w:val="4"/>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w:t>
            </w:r>
          </w:p>
        </w:tc>
        <w:tc>
          <w:tcPr>
            <w:tcW w:w="1843" w:type="dxa"/>
            <w:gridSpan w:val="3"/>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tcBorders>
            <w:noWrap w:val="0"/>
            <w:vAlign w:val="top"/>
          </w:tcPr>
          <w:p>
            <w:pPr>
              <w:pStyle w:val="21"/>
              <w:rPr>
                <w:rFonts w:hint="eastAsia" w:ascii="宋体" w:hAnsi="宋体" w:eastAsia="宋体" w:cs="宋体"/>
                <w:b w:val="0"/>
                <w:bCs w:val="0"/>
              </w:rPr>
            </w:pP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＞8mm</w:t>
            </w:r>
          </w:p>
        </w:tc>
        <w:tc>
          <w:tcPr>
            <w:tcW w:w="1069" w:type="dxa"/>
            <w:vMerge w:val="continue"/>
            <w:tcBorders>
              <w:top w:val="nil"/>
            </w:tcBorders>
            <w:noWrap w:val="0"/>
            <w:vAlign w:val="top"/>
          </w:tcPr>
          <w:p>
            <w:pPr>
              <w:pStyle w:val="21"/>
              <w:rPr>
                <w:rFonts w:hint="eastAsia" w:ascii="宋体" w:hAnsi="宋体" w:eastAsia="宋体" w:cs="宋体"/>
                <w:b w:val="0"/>
                <w:bCs w:val="0"/>
              </w:rPr>
            </w:pPr>
          </w:p>
        </w:tc>
        <w:tc>
          <w:tcPr>
            <w:tcW w:w="5153" w:type="dxa"/>
            <w:gridSpan w:val="10"/>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不应有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restart"/>
            <w:tcBorders>
              <w:left w:val="nil"/>
              <w:bottom w:val="nil"/>
            </w:tcBorders>
            <w:noWrap w:val="0"/>
            <w:textDirection w:val="tbRlV"/>
            <w:vAlign w:val="top"/>
          </w:tcPr>
          <w:p>
            <w:pPr>
              <w:pStyle w:val="21"/>
              <w:rPr>
                <w:rFonts w:hint="eastAsia" w:ascii="宋体" w:hAnsi="宋体" w:eastAsia="宋体" w:cs="宋体"/>
                <w:b w:val="0"/>
                <w:bCs w:val="0"/>
              </w:rPr>
            </w:pPr>
            <w:r>
              <w:rPr>
                <w:rFonts w:hint="eastAsia" w:ascii="宋体" w:hAnsi="宋体" w:eastAsia="宋体" w:cs="宋体"/>
                <w:b w:val="0"/>
                <w:bCs w:val="0"/>
              </w:rPr>
              <w:t>尘埃度</w:t>
            </w: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总数</w:t>
            </w:r>
          </w:p>
        </w:tc>
        <w:tc>
          <w:tcPr>
            <w:tcW w:w="1069" w:type="dxa"/>
            <w:vMerge w:val="restart"/>
            <w:tcBorders>
              <w:bottom w:val="nil"/>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mc:AlternateContent>
                <mc:Choice Requires="wps">
                  <w:drawing>
                    <wp:anchor distT="0" distB="0" distL="114300" distR="114300" simplePos="0" relativeHeight="251665408" behindDoc="0" locked="0" layoutInCell="1" allowOverlap="1">
                      <wp:simplePos x="0" y="0"/>
                      <wp:positionH relativeFrom="page">
                        <wp:posOffset>107950</wp:posOffset>
                      </wp:positionH>
                      <wp:positionV relativeFrom="page">
                        <wp:posOffset>356870</wp:posOffset>
                      </wp:positionV>
                      <wp:extent cx="191770" cy="20447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91770" cy="204470"/>
                              </a:xfrm>
                              <a:prstGeom prst="rect">
                                <a:avLst/>
                              </a:prstGeom>
                              <a:noFill/>
                              <a:ln>
                                <a:noFill/>
                              </a:ln>
                            </wps:spPr>
                            <wps:txbx>
                              <w:txbxContent>
                                <w:p>
                                  <w:pPr>
                                    <w:spacing w:before="20" w:line="281" w:lineRule="exact"/>
                                    <w:ind w:left="20"/>
                                    <w:rPr>
                                      <w:rFonts w:ascii="Times New Roman" w:hAnsi="Times New Roman" w:eastAsia="Times New Roman" w:cs="Times New Roman"/>
                                      <w:sz w:val="20"/>
                                      <w:szCs w:val="20"/>
                                    </w:rPr>
                                  </w:pPr>
                                  <w:r>
                                    <w:rPr>
                                      <w:rFonts w:ascii="宋体" w:hAnsi="宋体" w:eastAsia="宋体" w:cs="宋体"/>
                                      <w:spacing w:val="3"/>
                                      <w:position w:val="1"/>
                                      <w:sz w:val="20"/>
                                      <w:szCs w:val="20"/>
                                    </w:rPr>
                                    <w:t>个</w:t>
                                  </w:r>
                                  <w:r>
                                    <w:rPr>
                                      <w:rFonts w:ascii="Times New Roman" w:hAnsi="Times New Roman" w:eastAsia="Times New Roman" w:cs="Times New Roman"/>
                                      <w:spacing w:val="3"/>
                                      <w:position w:val="1"/>
                                      <w:sz w:val="20"/>
                                      <w:szCs w:val="20"/>
                                    </w:rPr>
                                    <w:t>/</w:t>
                                  </w:r>
                                </w:p>
                              </w:txbxContent>
                            </wps:txbx>
                            <wps:bodyPr lIns="0" tIns="0" rIns="0" bIns="0" upright="1"/>
                          </wps:wsp>
                        </a:graphicData>
                      </a:graphic>
                    </wp:anchor>
                  </w:drawing>
                </mc:Choice>
                <mc:Fallback>
                  <w:pict>
                    <v:shape id="_x0000_s1026" o:spid="_x0000_s1026" o:spt="202" type="#_x0000_t202" style="position:absolute;left:0pt;margin-left:8.5pt;margin-top:28.1pt;height:16.1pt;width:15.1pt;mso-position-horizontal-relative:page;mso-position-vertical-relative:page;z-index:251665408;mso-width-relative:page;mso-height-relative:page;" filled="f" stroked="f" coordsize="21600,21600" o:gfxdata="UEsDBAoAAAAAAIdO4kAAAAAAAAAAAAAAAAAEAAAAZHJzL1BLAwQUAAAACACHTuJA/cxZttcAAAAH&#10;AQAADwAAAGRycy9kb3ducmV2LnhtbE2PzU7DMBCE70i8g7WVuFG7VUlDGqdCCE5IiDQcODrxNoka&#10;r0Ps/vD2LKdyGo1mNfNtvr24QZxwCr0nDYu5AoHUeNtTq+Gzer1PQYRoyJrBE2r4wQDb4vYmN5n1&#10;ZyrxtIut4BIKmdHQxThmUoamQ2fC3I9InO395ExkO7XSTubM5W6QS6US6UxPvNCZEZ87bA67o9Pw&#10;9EXlS//9Xn+U+7KvqkdFb8lB67vZQm1ARLzE6zH84TM6FMxU+yPZIAb2a34lanhIliA4X61Zaw1p&#10;ugJZ5PI/f/ELUEsDBBQAAAAIAIdO4kA1owljuQEAAHMDAAAOAAAAZHJzL2Uyb0RvYy54bWytU0tu&#10;2zAQ3RfIHQjua8pGkLSC5QCFkaBA0RZIcwCaIi0C/IFDW/IF2ht01U33PZfP0SFlOZ9usuiGGs4M&#10;38x7M1reDNaQvYygvWvofFZRIp3wrXbbhj58u337jhJI3LXceCcbepBAb1YXb5Z9qOXCd960MhIE&#10;cVD3oaFdSqFmDEQnLYeZD9JhUPloecJr3LI28h7RrWGLqrpivY9tiF5IAPSuxyA9IcbXAHqltJBr&#10;L3ZWujSiRml4QkrQ6QB0VbpVSor0RSmQiZiGItNUTiyC9iafbLXk9Tby0GlxaoG/poUXnCzXDoue&#10;odY8cbKL+h8oq0X04FWaCW/ZSKQogizm1Qtt7jseZOGCUkM4iw7/D1Z83n+NRLe4CVeUOG5x4sef&#10;P46//hx/fyfoQ4H6ADXm3QfMTMMHP2Dy5Ad0Zt6DijZ/kRHBOMp7OMsrh0REfvR+fn2NEYGhRXV5&#10;iTais8fHIUK6k96SbDQ04vSKqHz/CdKYOqXkWs7famPKBI175kDM7GG587HDbKVhM5zobHx7QDbm&#10;o0Mt815MRpyMzWTsQtTbDtspnAskzqL0fdqbPOyn91L48V9Z/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9zFm21wAAAAcBAAAPAAAAAAAAAAEAIAAAACIAAABkcnMvZG93bnJldi54bWxQSwECFAAU&#10;AAAACACHTuJANaMJY7kBAABzAwAADgAAAAAAAAABACAAAAAmAQAAZHJzL2Uyb0RvYy54bWxQSwUG&#10;AAAAAAYABgBZAQAAUQUAAAAA&#10;">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宋体" w:hAnsi="宋体" w:eastAsia="宋体" w:cs="宋体"/>
                                <w:spacing w:val="3"/>
                                <w:position w:val="1"/>
                                <w:sz w:val="20"/>
                                <w:szCs w:val="20"/>
                              </w:rPr>
                              <w:t>个</w:t>
                            </w:r>
                            <w:r>
                              <w:rPr>
                                <w:rFonts w:ascii="Times New Roman" w:hAnsi="Times New Roman" w:eastAsia="Times New Roman" w:cs="Times New Roman"/>
                                <w:spacing w:val="3"/>
                                <w:position w:val="1"/>
                                <w:sz w:val="20"/>
                                <w:szCs w:val="20"/>
                              </w:rPr>
                              <w:t>/</w:t>
                            </w:r>
                          </w:p>
                        </w:txbxContent>
                      </v:textbox>
                    </v:shape>
                  </w:pict>
                </mc:Fallback>
              </mc:AlternateContent>
            </w:r>
          </w:p>
          <w:p>
            <w:pPr>
              <w:pStyle w:val="21"/>
              <w:rPr>
                <w:rFonts w:hint="eastAsia" w:ascii="宋体" w:hAnsi="宋体" w:eastAsia="宋体" w:cs="宋体"/>
                <w:b w:val="0"/>
                <w:bCs w:val="0"/>
              </w:rPr>
            </w:pPr>
          </w:p>
          <w:p>
            <w:pPr>
              <w:pStyle w:val="21"/>
              <w:rPr>
                <w:rFonts w:hint="eastAsia" w:ascii="宋体" w:hAnsi="宋体" w:eastAsia="宋体" w:cs="宋体"/>
                <w:b w:val="0"/>
                <w:bCs w:val="0"/>
              </w:rPr>
            </w:pPr>
            <w:r>
              <w:rPr>
                <w:rFonts w:hint="eastAsia" w:ascii="宋体" w:hAnsi="宋体" w:eastAsia="宋体" w:cs="宋体"/>
                <w:b w:val="0"/>
                <w:bCs w:val="0"/>
              </w:rPr>
              <w:t>m</w:t>
            </w:r>
            <w:r>
              <w:rPr>
                <w:rFonts w:hint="eastAsia" w:ascii="宋体" w:hAnsi="宋体" w:eastAsia="宋体" w:cs="宋体"/>
                <w:b w:val="0"/>
                <w:bCs w:val="0"/>
                <w:sz w:val="21"/>
                <w:szCs w:val="21"/>
                <w:lang w:val="en-US" w:eastAsia="zh-Hans"/>
              </w:rPr>
              <w:t>²</w:t>
            </w:r>
          </w:p>
        </w:tc>
        <w:tc>
          <w:tcPr>
            <w:tcW w:w="1598" w:type="dxa"/>
            <w:gridSpan w:val="3"/>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w:t>
            </w:r>
          </w:p>
        </w:tc>
        <w:tc>
          <w:tcPr>
            <w:tcW w:w="1712" w:type="dxa"/>
            <w:gridSpan w:val="4"/>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≤50</w:t>
            </w:r>
          </w:p>
        </w:tc>
        <w:tc>
          <w:tcPr>
            <w:tcW w:w="1843" w:type="dxa"/>
            <w:gridSpan w:val="3"/>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bottom w:val="nil"/>
            </w:tcBorders>
            <w:noWrap w:val="0"/>
            <w:textDirection w:val="tbRlV"/>
            <w:vAlign w:val="top"/>
          </w:tcPr>
          <w:p>
            <w:pPr>
              <w:pStyle w:val="21"/>
              <w:rPr>
                <w:rFonts w:hint="eastAsia" w:ascii="宋体" w:hAnsi="宋体" w:eastAsia="宋体" w:cs="宋体"/>
                <w:b w:val="0"/>
                <w:bCs w:val="0"/>
              </w:rPr>
            </w:pPr>
          </w:p>
        </w:tc>
        <w:tc>
          <w:tcPr>
            <w:tcW w:w="1805" w:type="dxa"/>
            <w:noWrap w:val="0"/>
            <w:vAlign w:val="top"/>
          </w:tcPr>
          <w:p>
            <w:pPr>
              <w:pStyle w:val="21"/>
              <w:rPr>
                <w:rFonts w:hint="eastAsia" w:ascii="宋体" w:hAnsi="宋体" w:eastAsia="宋体" w:cs="宋体"/>
                <w:b w:val="0"/>
                <w:bCs w:val="0"/>
              </w:rPr>
            </w:pPr>
            <w:r>
              <w:rPr>
                <w:rFonts w:hint="eastAsia" w:ascii="宋体" w:hAnsi="宋体" w:eastAsia="宋体" w:cs="宋体"/>
                <w:b w:val="0"/>
                <w:bCs w:val="0"/>
              </w:rPr>
              <w:t>0.2mm</w:t>
            </w:r>
            <w:r>
              <w:rPr>
                <w:rFonts w:hint="eastAsia" w:ascii="宋体" w:hAnsi="宋体" w:eastAsia="宋体" w:cs="宋体"/>
                <w:b w:val="0"/>
                <w:bCs w:val="0"/>
                <w:sz w:val="21"/>
                <w:szCs w:val="21"/>
                <w:lang w:val="en-US" w:eastAsia="zh-Hans"/>
              </w:rPr>
              <w:t>²</w:t>
            </w:r>
            <w:r>
              <w:rPr>
                <w:rFonts w:hint="eastAsia" w:ascii="宋体" w:hAnsi="宋体" w:eastAsia="宋体" w:cs="宋体"/>
                <w:b w:val="0"/>
                <w:bCs w:val="0"/>
              </w:rPr>
              <w:t>-1.0mm</w:t>
            </w:r>
            <w:r>
              <w:rPr>
                <w:rFonts w:hint="eastAsia" w:ascii="宋体" w:hAnsi="宋体" w:eastAsia="宋体" w:cs="宋体"/>
                <w:b w:val="0"/>
                <w:bCs w:val="0"/>
                <w:sz w:val="21"/>
                <w:szCs w:val="21"/>
                <w:lang w:val="en-US" w:eastAsia="zh-Hans"/>
              </w:rPr>
              <w:t>²</w:t>
            </w:r>
          </w:p>
        </w:tc>
        <w:tc>
          <w:tcPr>
            <w:tcW w:w="1069" w:type="dxa"/>
            <w:vMerge w:val="continue"/>
            <w:tcBorders>
              <w:top w:val="nil"/>
              <w:bottom w:val="nil"/>
            </w:tcBorders>
            <w:noWrap w:val="0"/>
            <w:vAlign w:val="top"/>
          </w:tcPr>
          <w:p>
            <w:pPr>
              <w:pStyle w:val="21"/>
              <w:rPr>
                <w:rFonts w:hint="eastAsia" w:ascii="宋体" w:hAnsi="宋体" w:eastAsia="宋体" w:cs="宋体"/>
                <w:b w:val="0"/>
                <w:bCs w:val="0"/>
              </w:rPr>
            </w:pPr>
          </w:p>
        </w:tc>
        <w:tc>
          <w:tcPr>
            <w:tcW w:w="1598" w:type="dxa"/>
            <w:gridSpan w:val="3"/>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w:t>
            </w:r>
          </w:p>
        </w:tc>
        <w:tc>
          <w:tcPr>
            <w:tcW w:w="1712" w:type="dxa"/>
            <w:gridSpan w:val="4"/>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≤50</w:t>
            </w:r>
          </w:p>
        </w:tc>
        <w:tc>
          <w:tcPr>
            <w:tcW w:w="1843" w:type="dxa"/>
            <w:gridSpan w:val="3"/>
            <w:tcBorders>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bottom w:val="nil"/>
            </w:tcBorders>
            <w:noWrap w:val="0"/>
            <w:textDirection w:val="tbRlV"/>
            <w:vAlign w:val="top"/>
          </w:tcPr>
          <w:p>
            <w:pPr>
              <w:pStyle w:val="21"/>
              <w:rPr>
                <w:rFonts w:hint="eastAsia" w:ascii="宋体" w:hAnsi="宋体" w:eastAsia="宋体" w:cs="宋体"/>
                <w:b w:val="0"/>
                <w:bCs w:val="0"/>
              </w:rPr>
            </w:pPr>
          </w:p>
        </w:tc>
        <w:tc>
          <w:tcPr>
            <w:tcW w:w="1805" w:type="dxa"/>
            <w:tcBorders>
              <w:bottom w:val="single" w:color="auto" w:sz="4" w:space="0"/>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＞1.0mm</w:t>
            </w:r>
            <w:r>
              <w:rPr>
                <w:rFonts w:hint="eastAsia" w:ascii="宋体" w:hAnsi="宋体" w:eastAsia="宋体" w:cs="宋体"/>
                <w:b w:val="0"/>
                <w:bCs w:val="0"/>
                <w:sz w:val="21"/>
                <w:szCs w:val="21"/>
                <w:lang w:val="en-US" w:eastAsia="zh-Hans"/>
              </w:rPr>
              <w:t>²</w:t>
            </w:r>
            <w:r>
              <w:rPr>
                <w:rFonts w:hint="eastAsia" w:ascii="宋体" w:hAnsi="宋体" w:eastAsia="宋体" w:cs="宋体"/>
                <w:b w:val="0"/>
                <w:bCs w:val="0"/>
              </w:rPr>
              <w:t>-2.0mm</w:t>
            </w:r>
            <w:r>
              <w:rPr>
                <w:rFonts w:hint="eastAsia" w:ascii="宋体" w:hAnsi="宋体" w:eastAsia="宋体" w:cs="宋体"/>
                <w:b w:val="0"/>
                <w:bCs w:val="0"/>
                <w:sz w:val="21"/>
                <w:szCs w:val="21"/>
                <w:lang w:val="en-US" w:eastAsia="zh-Hans"/>
              </w:rPr>
              <w:t>²</w:t>
            </w:r>
          </w:p>
        </w:tc>
        <w:tc>
          <w:tcPr>
            <w:tcW w:w="1069" w:type="dxa"/>
            <w:vMerge w:val="continue"/>
            <w:tcBorders>
              <w:top w:val="nil"/>
              <w:bottom w:val="single" w:color="auto" w:sz="4" w:space="0"/>
            </w:tcBorders>
            <w:noWrap w:val="0"/>
            <w:vAlign w:val="top"/>
          </w:tcPr>
          <w:p>
            <w:pPr>
              <w:pStyle w:val="21"/>
              <w:rPr>
                <w:rFonts w:hint="eastAsia" w:ascii="宋体" w:hAnsi="宋体" w:eastAsia="宋体" w:cs="宋体"/>
                <w:b w:val="0"/>
                <w:bCs w:val="0"/>
              </w:rPr>
            </w:pPr>
          </w:p>
        </w:tc>
        <w:tc>
          <w:tcPr>
            <w:tcW w:w="1598" w:type="dxa"/>
            <w:gridSpan w:val="3"/>
            <w:tcBorders>
              <w:bottom w:val="single" w:color="auto" w:sz="4" w:space="0"/>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≤4</w:t>
            </w:r>
          </w:p>
        </w:tc>
        <w:tc>
          <w:tcPr>
            <w:tcW w:w="1712" w:type="dxa"/>
            <w:gridSpan w:val="4"/>
            <w:tcBorders>
              <w:bottom w:val="single" w:color="auto" w:sz="4" w:space="0"/>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≤10</w:t>
            </w:r>
          </w:p>
        </w:tc>
        <w:tc>
          <w:tcPr>
            <w:tcW w:w="1843" w:type="dxa"/>
            <w:gridSpan w:val="3"/>
            <w:tcBorders>
              <w:bottom w:val="single" w:color="auto" w:sz="4" w:space="0"/>
              <w:right w:val="nil"/>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481" w:type="dxa"/>
            <w:vMerge w:val="continue"/>
            <w:tcBorders>
              <w:top w:val="nil"/>
              <w:left w:val="nil"/>
              <w:right w:val="single" w:color="auto" w:sz="4" w:space="0"/>
            </w:tcBorders>
            <w:noWrap w:val="0"/>
            <w:textDirection w:val="tbRlV"/>
            <w:vAlign w:val="top"/>
          </w:tcPr>
          <w:p>
            <w:pPr>
              <w:pStyle w:val="21"/>
              <w:rPr>
                <w:rFonts w:hint="eastAsia" w:ascii="宋体" w:hAnsi="宋体" w:eastAsia="宋体" w:cs="宋体"/>
                <w:b w:val="0"/>
                <w:bCs w:val="0"/>
              </w:rPr>
            </w:pPr>
          </w:p>
        </w:tc>
        <w:tc>
          <w:tcPr>
            <w:tcW w:w="1805" w:type="dxa"/>
            <w:tcBorders>
              <w:top w:val="single" w:color="auto" w:sz="4" w:space="0"/>
              <w:left w:val="single" w:color="auto" w:sz="4" w:space="0"/>
              <w:bottom w:val="single" w:color="auto" w:sz="4" w:space="0"/>
              <w:right w:val="single" w:color="auto" w:sz="4" w:space="0"/>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＞2.0mm</w:t>
            </w:r>
            <w:r>
              <w:rPr>
                <w:rFonts w:hint="eastAsia" w:ascii="宋体" w:hAnsi="宋体" w:eastAsia="宋体" w:cs="宋体"/>
                <w:b w:val="0"/>
                <w:bCs w:val="0"/>
                <w:sz w:val="21"/>
                <w:szCs w:val="21"/>
                <w:lang w:val="en-US" w:eastAsia="zh-Hans"/>
              </w:rPr>
              <w:t>²</w:t>
            </w:r>
          </w:p>
        </w:tc>
        <w:tc>
          <w:tcPr>
            <w:tcW w:w="1069" w:type="dxa"/>
            <w:vMerge w:val="continue"/>
            <w:tcBorders>
              <w:top w:val="single" w:color="auto" w:sz="4" w:space="0"/>
              <w:left w:val="single" w:color="auto" w:sz="4" w:space="0"/>
              <w:bottom w:val="single" w:color="auto" w:sz="4" w:space="0"/>
              <w:right w:val="single" w:color="auto" w:sz="4" w:space="0"/>
            </w:tcBorders>
            <w:noWrap w:val="0"/>
            <w:vAlign w:val="top"/>
          </w:tcPr>
          <w:p>
            <w:pPr>
              <w:pStyle w:val="21"/>
              <w:rPr>
                <w:rFonts w:hint="eastAsia" w:ascii="宋体" w:hAnsi="宋体" w:eastAsia="宋体" w:cs="宋体"/>
                <w:b w:val="0"/>
                <w:bCs w:val="0"/>
              </w:rPr>
            </w:pPr>
          </w:p>
        </w:tc>
        <w:tc>
          <w:tcPr>
            <w:tcW w:w="5153" w:type="dxa"/>
            <w:gridSpan w:val="10"/>
            <w:tcBorders>
              <w:top w:val="single" w:color="auto" w:sz="4" w:space="0"/>
              <w:left w:val="single" w:color="auto" w:sz="4" w:space="0"/>
              <w:bottom w:val="single" w:color="auto" w:sz="4" w:space="0"/>
              <w:right w:val="single" w:color="auto" w:sz="4" w:space="0"/>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不应有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286" w:type="dxa"/>
            <w:gridSpan w:val="2"/>
            <w:tcBorders>
              <w:top w:val="single" w:color="auto" w:sz="4" w:space="0"/>
              <w:left w:val="single" w:color="auto" w:sz="4" w:space="0"/>
              <w:bottom w:val="single" w:color="auto" w:sz="4" w:space="0"/>
              <w:right w:val="single" w:color="auto" w:sz="4" w:space="0"/>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交货水分</w:t>
            </w:r>
          </w:p>
        </w:tc>
        <w:tc>
          <w:tcPr>
            <w:tcW w:w="1069" w:type="dxa"/>
            <w:tcBorders>
              <w:top w:val="single" w:color="auto" w:sz="4" w:space="0"/>
              <w:left w:val="single" w:color="auto" w:sz="4" w:space="0"/>
              <w:bottom w:val="single" w:color="auto" w:sz="4" w:space="0"/>
              <w:right w:val="single" w:color="auto" w:sz="4" w:space="0"/>
            </w:tcBorders>
            <w:noWrap w:val="0"/>
            <w:vAlign w:val="top"/>
          </w:tcPr>
          <w:p>
            <w:pPr>
              <w:pStyle w:val="21"/>
              <w:rPr>
                <w:rFonts w:hint="eastAsia" w:ascii="宋体" w:hAnsi="宋体" w:eastAsia="宋体" w:cs="宋体"/>
                <w:b w:val="0"/>
                <w:bCs w:val="0"/>
              </w:rPr>
            </w:pPr>
            <w:r>
              <w:rPr>
                <w:rFonts w:hint="eastAsia" w:ascii="宋体" w:hAnsi="宋体" w:eastAsia="宋体" w:cs="宋体"/>
                <w:b w:val="0"/>
                <w:bCs w:val="0"/>
              </w:rPr>
              <w:t>%</w:t>
            </w:r>
          </w:p>
        </w:tc>
        <w:tc>
          <w:tcPr>
            <w:tcW w:w="5153" w:type="dxa"/>
            <w:gridSpan w:val="10"/>
            <w:tcBorders>
              <w:top w:val="single" w:color="auto" w:sz="4" w:space="0"/>
              <w:left w:val="single" w:color="auto" w:sz="4" w:space="0"/>
              <w:bottom w:val="single" w:color="auto" w:sz="4" w:space="0"/>
              <w:right w:val="single" w:color="auto" w:sz="4" w:space="0"/>
            </w:tcBorders>
            <w:noWrap w:val="0"/>
            <w:vAlign w:val="top"/>
          </w:tcPr>
          <w:p>
            <w:pPr>
              <w:pStyle w:val="21"/>
              <w:rPr>
                <w:rFonts w:hint="default" w:ascii="Times New Roman Regular" w:hAnsi="Times New Roman Regular" w:eastAsia="宋体" w:cs="Times New Roman Regular"/>
                <w:b w:val="0"/>
                <w:bCs w:val="0"/>
              </w:rPr>
            </w:pPr>
            <w:r>
              <w:rPr>
                <w:rFonts w:hint="default" w:ascii="Times New Roman Regular" w:hAnsi="Times New Roman Regular" w:eastAsia="宋体" w:cs="Times New Roman Regular"/>
                <w:b w:val="0"/>
                <w:bCs w:val="0"/>
              </w:rPr>
              <w:t>≤10.0</w:t>
            </w:r>
          </w:p>
        </w:tc>
      </w:tr>
    </w:tbl>
    <w:p>
      <w:pPr>
        <w:pStyle w:val="21"/>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a可生产其他定量的卫生纸和卫生纸原纸</w:t>
      </w:r>
    </w:p>
    <w:p>
      <w:pPr>
        <w:pStyle w:val="21"/>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b印花、染色的卫生纸和卫生纸原纸不考核</w:t>
      </w:r>
      <w:r>
        <w:rPr>
          <w:rFonts w:hint="default" w:ascii="Times New Roman Regular" w:hAnsi="Times New Roman Regular" w:eastAsia="宋体" w:cs="Times New Roman Regular"/>
          <w:b w:val="0"/>
          <w:bCs w:val="0"/>
          <w:sz w:val="24"/>
          <w:szCs w:val="24"/>
        </w:rPr>
        <w:t>D65</w:t>
      </w:r>
      <w:r>
        <w:rPr>
          <w:rFonts w:hint="eastAsia" w:ascii="宋体" w:hAnsi="宋体" w:eastAsia="宋体" w:cs="宋体"/>
          <w:b w:val="0"/>
          <w:bCs w:val="0"/>
          <w:sz w:val="24"/>
          <w:szCs w:val="24"/>
        </w:rPr>
        <w:t>亮度</w:t>
      </w:r>
    </w:p>
    <w:p>
      <w:pPr>
        <w:pStyle w:val="21"/>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c可分散性为参考指标，不作为合格与否的判定依据</w:t>
      </w:r>
    </w:p>
    <w:p>
      <w:pPr>
        <w:pStyle w:val="3"/>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bookmarkStart w:id="10" w:name="_Toc26431"/>
      <w:r>
        <w:rPr>
          <w:rFonts w:hint="eastAsia" w:ascii="宋体" w:hAnsi="宋体" w:eastAsia="宋体" w:cs="宋体"/>
          <w:b w:val="0"/>
          <w:bCs w:val="0"/>
          <w:sz w:val="24"/>
          <w:szCs w:val="24"/>
        </w:rPr>
        <w:t>d卫生纸原纸不考核掉粉率</w:t>
      </w:r>
      <w:bookmarkEnd w:id="10"/>
    </w:p>
    <w:p>
      <w:pPr>
        <w:pStyle w:val="21"/>
        <w:ind w:firstLine="422" w:firstLineChars="200"/>
        <w:jc w:val="left"/>
        <w:rPr>
          <w:rFonts w:hint="eastAsia" w:cs="Times New Roman"/>
        </w:rPr>
      </w:pPr>
      <w:r>
        <w:rPr>
          <w:rFonts w:hint="eastAsia" w:cs="Times New Roman"/>
        </w:rPr>
        <w:t>本项目主要设备见表</w:t>
      </w:r>
      <w:r>
        <w:rPr>
          <w:rFonts w:hint="default" w:cs="Times New Roman"/>
        </w:rPr>
        <w:t>3.2-3</w:t>
      </w:r>
      <w:r>
        <w:rPr>
          <w:rFonts w:hint="eastAsia" w:cs="Times New Roman"/>
        </w:rPr>
        <w:t>、表</w:t>
      </w:r>
      <w:r>
        <w:rPr>
          <w:rFonts w:hint="default" w:cs="Times New Roman"/>
        </w:rPr>
        <w:t>3.2-4</w:t>
      </w:r>
      <w:r>
        <w:rPr>
          <w:rFonts w:hint="eastAsia" w:cs="Times New Roman"/>
        </w:rPr>
        <w:t>。</w:t>
      </w:r>
    </w:p>
    <w:p>
      <w:pPr>
        <w:pStyle w:val="21"/>
        <w:rPr>
          <w:rFonts w:hint="eastAsia" w:cs="Times New Roman"/>
        </w:rPr>
      </w:pPr>
      <w:r>
        <w:rPr>
          <w:rFonts w:hint="eastAsia" w:cs="Times New Roman"/>
        </w:rPr>
        <w:t>表</w:t>
      </w:r>
      <w:r>
        <w:rPr>
          <w:rFonts w:hint="default" w:cs="Times New Roman"/>
        </w:rPr>
        <w:t>3.2-3</w:t>
      </w:r>
      <w:r>
        <w:rPr>
          <w:rFonts w:hint="eastAsia" w:cs="Times New Roman"/>
        </w:rPr>
        <w:t>100t/d造纸生产线主要设备一览表</w:t>
      </w:r>
    </w:p>
    <w:tbl>
      <w:tblPr>
        <w:tblStyle w:val="62"/>
        <w:tblW w:w="85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1934"/>
        <w:gridCol w:w="3583"/>
        <w:gridCol w:w="695"/>
        <w:gridCol w:w="695"/>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设备名称</w:t>
            </w:r>
          </w:p>
        </w:tc>
        <w:tc>
          <w:tcPr>
            <w:tcW w:w="3583"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规格参数</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数量</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单位</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w:t>
            </w:r>
          </w:p>
        </w:tc>
        <w:tc>
          <w:tcPr>
            <w:tcW w:w="7704" w:type="dxa"/>
            <w:gridSpan w:val="5"/>
            <w:tcBorders>
              <w:righ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备浆工段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水力碎浆机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V=5m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，c=5%</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卸料泵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Q=100m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/h，H=15m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木浆叩前池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V=60m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，φ5000X4000mm，c=5%</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搅拌器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15kW</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Q=20m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/h，H=35m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高浓除渣器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通过量300L/min，浓度：4%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双圆盘磨浆机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产量：15t/d，浓度：4%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木浆浆叩后池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V=60m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，φ5000X4000mm，c=5%</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Q=20m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/h，H=10m，c=4%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配浆池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V=60m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，φ5000X4000mm，c=4%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Q=65m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/h，H=25m，c=3%</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匀整磨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产量：110t/d，浓度：4%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苇浆卸料塔</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V=350m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，φ4700X11000mm，c=4%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Q=130m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/h，H=15m，c=4%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bl>
    <w:tbl>
      <w:tblPr>
        <w:tblStyle w:val="62"/>
        <w:tblpPr w:leftFromText="180" w:rightFromText="180" w:vertAnchor="text" w:horzAnchor="page" w:tblpXSpec="center" w:tblpY="284"/>
        <w:tblOverlap w:val="never"/>
        <w:tblW w:w="85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1934"/>
        <w:gridCol w:w="3583"/>
        <w:gridCol w:w="695"/>
        <w:gridCol w:w="695"/>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双圆网浓缩机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5T/h，φ1600X1800mm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散料输送螺旋</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5t/h，φ380，L=4800mm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喂料螺旋</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5t/h，φ380，L=1700mm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高浓磨浆机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产量：5t/d，打浆浓度：13%-23%</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苇浆叩后池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V=60m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，φ5000X4000mm，c=4%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Q=65m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/h，H=10m，c=3%</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浓缩白水池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V=60m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，φ5000X4000mm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白水泵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Q=110m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/h，H=15m，c=4%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白水塔</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V=350m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，φ4700X11000mm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白水泵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Q=400m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/h，H=15m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多圆盘</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Q=400m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清滤液塔</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V=350m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，φ4700X11000mm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一段低浓上浆泵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Q=360m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/h，H=38m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一段低浓除渣器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进浆浓度C=1.6%，Q=310m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/h，9支</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二段低浓上浆泵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Q=90m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/h，H=38m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二段低浓除渣器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进浆浓度C=1.3%，Q=80m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/h，4支</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三段低浓上浆泵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Q=30m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/h，H=38m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三段低浓除渣器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进浆浓度C=0.95%，Q=30m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/h，1支</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盘式浓缩机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lang w:val="en-US" w:eastAsia="zh-Hans"/>
              </w:rPr>
            </w:pPr>
            <w:r>
              <w:rPr>
                <w:rFonts w:hint="default" w:ascii="Times New Roman Regular" w:hAnsi="Times New Roman Regular" w:eastAsia="宋体" w:cs="Times New Roman Regular"/>
                <w:b w:val="0"/>
                <w:bCs w:val="0"/>
                <w:sz w:val="21"/>
                <w:szCs w:val="21"/>
              </w:rPr>
              <w:t>φ2500，面积105m</w:t>
            </w:r>
            <w:r>
              <w:rPr>
                <w:rFonts w:hint="default" w:ascii="Times New Roman Regular" w:hAnsi="Times New Roman Regular" w:eastAsia="宋体" w:cs="Times New Roman Regular"/>
                <w:b w:val="0"/>
                <w:bCs w:val="0"/>
                <w:sz w:val="21"/>
                <w:szCs w:val="21"/>
                <w:lang w:val="en-US" w:eastAsia="zh-Hans"/>
              </w:rPr>
              <w:t>²</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苇浆扣前池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V=60m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，φ5000X4000mm，c=4%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二</w:t>
            </w:r>
          </w:p>
        </w:tc>
        <w:tc>
          <w:tcPr>
            <w:tcW w:w="7704" w:type="dxa"/>
            <w:gridSpan w:val="5"/>
            <w:tcBorders>
              <w:right w:val="nil"/>
            </w:tcBorders>
            <w:noWrap w:val="0"/>
            <w:vAlign w:val="top"/>
          </w:tcPr>
          <w:p>
            <w:pPr>
              <w:pStyle w:val="21"/>
              <w:jc w:val="center"/>
              <w:rPr>
                <w:rFonts w:hint="eastAsia" w:ascii="Times New Roman Regular" w:hAnsi="Times New Roman Regular" w:eastAsia="宋体" w:cs="Times New Roman Regular"/>
                <w:b w:val="0"/>
                <w:bCs w:val="0"/>
                <w:sz w:val="21"/>
                <w:szCs w:val="21"/>
                <w:lang w:eastAsia="zh-CN"/>
              </w:rPr>
            </w:pPr>
            <w:r>
              <w:rPr>
                <w:rFonts w:hint="default" w:ascii="Times New Roman Regular" w:hAnsi="Times New Roman Regular" w:eastAsia="宋体" w:cs="Times New Roman Regular"/>
                <w:b w:val="0"/>
                <w:bCs w:val="0"/>
                <w:sz w:val="21"/>
                <w:szCs w:val="21"/>
              </w:rPr>
              <w:t>抄纸工段</w:t>
            </w:r>
            <w:r>
              <w:rPr>
                <w:rFonts w:hint="eastAsia" w:ascii="Times New Roman Regular" w:hAnsi="Times New Roman Regular" w:cs="Times New Roman Regular"/>
                <w:b w:val="0"/>
                <w:bCs w:val="0"/>
                <w:sz w:val="21"/>
                <w:szCs w:val="21"/>
                <w:lang w:eastAsia="zh-CN"/>
              </w:rPr>
              <w:t>（</w:t>
            </w:r>
            <w:r>
              <w:rPr>
                <w:rFonts w:hint="default" w:ascii="Times New Roman Regular" w:hAnsi="Times New Roman Regular" w:eastAsia="宋体" w:cs="Times New Roman Regular"/>
                <w:b w:val="0"/>
                <w:bCs w:val="0"/>
                <w:sz w:val="21"/>
                <w:szCs w:val="21"/>
              </w:rPr>
              <w:t>100吨</w:t>
            </w:r>
            <w:r>
              <w:rPr>
                <w:rFonts w:hint="eastAsia" w:ascii="Times New Roman Regular" w:hAnsi="Times New Roman Regular" w:cs="Times New Roman Regular"/>
                <w:b w:val="0"/>
                <w:bCs w:val="0"/>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抄前池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V=40m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，φ4400X4000mm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搅拌器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15kW</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Q=35m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/h，H=20m，c=3%</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高位箱</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冲浆泵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Q=1150m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/h，H=38.5m，c=0.2%</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压力筛</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Q=1150m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/h，c=0.2%</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振动筛</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1m2，2-5t/d</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抄纸机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定量：11-45g/m</w:t>
            </w:r>
            <w:r>
              <w:rPr>
                <w:rFonts w:hint="default" w:ascii="Times New Roman Regular" w:hAnsi="Times New Roman Regular" w:eastAsia="宋体" w:cs="Times New Roman Regular"/>
                <w:b w:val="0"/>
                <w:bCs w:val="0"/>
                <w:sz w:val="21"/>
                <w:szCs w:val="21"/>
                <w:lang w:val="en-US" w:eastAsia="zh-Hans"/>
              </w:rPr>
              <w:t>²</w:t>
            </w:r>
            <w:r>
              <w:rPr>
                <w:rFonts w:hint="default" w:ascii="Times New Roman Regular" w:hAnsi="Times New Roman Regular" w:eastAsia="宋体" w:cs="Times New Roman Regular"/>
                <w:b w:val="0"/>
                <w:bCs w:val="0"/>
                <w:sz w:val="21"/>
                <w:szCs w:val="21"/>
              </w:rPr>
              <w:t>，工作车速：750m/min净纸宽：2850mm抄造率97%</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白水池</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V=50m</w:t>
            </w:r>
            <w:r>
              <w:rPr>
                <w:rFonts w:hint="default" w:ascii="Times New Roman Regular" w:hAnsi="Times New Roman Regular" w:eastAsia="宋体" w:cs="Times New Roman Regular"/>
                <w:b w:val="0"/>
                <w:sz w:val="21"/>
                <w:szCs w:val="21"/>
                <w:lang w:val="en-US" w:eastAsia="zh-Hans"/>
              </w:rPr>
              <w:t>³</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座</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清水槽</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V=30m</w:t>
            </w:r>
            <w:r>
              <w:rPr>
                <w:rFonts w:hint="default" w:ascii="Times New Roman Regular" w:hAnsi="Times New Roman Regular" w:eastAsia="宋体" w:cs="Times New Roman Regular"/>
                <w:b w:val="0"/>
                <w:sz w:val="21"/>
                <w:szCs w:val="21"/>
                <w:lang w:val="en-US" w:eastAsia="zh-Hans"/>
              </w:rPr>
              <w:t>³</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风机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5.6m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/s，2500Pa，1475rpm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空气过滤器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5.6m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/s</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风机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16.7m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/s，500Pa，1475rpm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透平机</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225m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/min，使用真空度：-35kpa</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换热器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5.6m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/s</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换热器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5.6m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/s</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分离器</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1.4m</w:t>
            </w:r>
            <w:r>
              <w:rPr>
                <w:rFonts w:hint="default" w:ascii="Times New Roman Regular" w:hAnsi="Times New Roman Regular" w:eastAsia="宋体" w:cs="Times New Roman Regular"/>
                <w:b w:val="0"/>
                <w:bCs w:val="0"/>
                <w:sz w:val="21"/>
                <w:szCs w:val="21"/>
                <w:lang w:val="en-US" w:eastAsia="zh-Hans"/>
              </w:rPr>
              <w:t>³</w:t>
            </w:r>
            <w:r>
              <w:rPr>
                <w:rFonts w:hint="default" w:ascii="Times New Roman Regular" w:hAnsi="Times New Roman Regular" w:eastAsia="宋体" w:cs="Times New Roman Regular"/>
                <w:b w:val="0"/>
                <w:bCs w:val="0"/>
                <w:sz w:val="21"/>
                <w:szCs w:val="21"/>
              </w:rPr>
              <w:t>，1.0Mpa，250°C</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800" w:type="dxa"/>
            <w:tcBorders>
              <w:left w:val="nil"/>
            </w:tcBorders>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1934"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热水泵</w:t>
            </w:r>
          </w:p>
        </w:tc>
        <w:tc>
          <w:tcPr>
            <w:tcW w:w="3583" w:type="dxa"/>
            <w:noWrap w:val="0"/>
            <w:vAlign w:val="top"/>
          </w:tcPr>
          <w:p>
            <w:pPr>
              <w:pStyle w:val="21"/>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5.0m</w:t>
            </w:r>
            <w:r>
              <w:rPr>
                <w:rFonts w:hint="default" w:ascii="Times New Roman Regular" w:hAnsi="Times New Roman Regular" w:eastAsia="宋体" w:cs="Times New Roman Regular"/>
                <w:b w:val="0"/>
                <w:sz w:val="21"/>
                <w:szCs w:val="21"/>
                <w:lang w:val="en-US" w:eastAsia="zh-Hans"/>
              </w:rPr>
              <w:t>³</w:t>
            </w:r>
            <w:r>
              <w:rPr>
                <w:rFonts w:hint="default" w:ascii="Times New Roman Regular" w:hAnsi="Times New Roman Regular" w:eastAsia="宋体" w:cs="Times New Roman Regular"/>
                <w:b w:val="0"/>
                <w:bCs w:val="0"/>
                <w:sz w:val="21"/>
                <w:szCs w:val="21"/>
              </w:rPr>
              <w:t>/h，90m，1450rpm</w:t>
            </w:r>
          </w:p>
        </w:tc>
        <w:tc>
          <w:tcPr>
            <w:tcW w:w="695" w:type="dxa"/>
            <w:noWrap w:val="0"/>
            <w:vAlign w:val="top"/>
          </w:tcPr>
          <w:p>
            <w:pPr>
              <w:pStyle w:val="21"/>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695" w:type="dxa"/>
            <w:noWrap w:val="0"/>
            <w:vAlign w:val="top"/>
          </w:tcPr>
          <w:p>
            <w:pPr>
              <w:pStyle w:val="21"/>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pStyle w:val="21"/>
              <w:jc w:val="center"/>
              <w:rPr>
                <w:rFonts w:hint="eastAsia" w:ascii="宋体" w:hAnsi="宋体" w:eastAsia="宋体" w:cs="宋体"/>
                <w:b w:val="0"/>
                <w:bCs w:val="0"/>
                <w:sz w:val="21"/>
                <w:szCs w:val="21"/>
              </w:rPr>
            </w:pPr>
          </w:p>
        </w:tc>
      </w:tr>
    </w:tbl>
    <w:tbl>
      <w:tblPr>
        <w:tblStyle w:val="62"/>
        <w:tblW w:w="85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1934"/>
        <w:gridCol w:w="3583"/>
        <w:gridCol w:w="695"/>
        <w:gridCol w:w="695"/>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三</w:t>
            </w:r>
          </w:p>
        </w:tc>
        <w:tc>
          <w:tcPr>
            <w:tcW w:w="7704" w:type="dxa"/>
            <w:gridSpan w:val="5"/>
            <w:tcBorders>
              <w:righ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后加工工段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卫生纸卷加工设备</w:t>
            </w:r>
          </w:p>
        </w:tc>
        <w:tc>
          <w:tcPr>
            <w:tcW w:w="3583" w:type="dxa"/>
            <w:noWrap w:val="0"/>
            <w:vAlign w:val="top"/>
          </w:tcPr>
          <w:p>
            <w:pPr>
              <w:bidi w:val="0"/>
              <w:jc w:val="center"/>
              <w:rPr>
                <w:rFonts w:hint="default" w:ascii="Times New Roman Regular" w:hAnsi="Times New Roman Regular" w:eastAsia="宋体" w:cs="Times New Roman Regular"/>
                <w:b w:val="0"/>
                <w:bCs w:val="0"/>
                <w:sz w:val="21"/>
                <w:szCs w:val="21"/>
              </w:rPr>
            </w:pP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面巾纸加工设备</w:t>
            </w:r>
          </w:p>
        </w:tc>
        <w:tc>
          <w:tcPr>
            <w:tcW w:w="3583" w:type="dxa"/>
            <w:noWrap w:val="0"/>
            <w:vAlign w:val="top"/>
          </w:tcPr>
          <w:p>
            <w:pPr>
              <w:bidi w:val="0"/>
              <w:jc w:val="center"/>
              <w:rPr>
                <w:rFonts w:hint="default" w:ascii="Times New Roman Regular" w:hAnsi="Times New Roman Regular" w:eastAsia="宋体" w:cs="Times New Roman Regular"/>
                <w:b w:val="0"/>
                <w:bCs w:val="0"/>
                <w:sz w:val="21"/>
                <w:szCs w:val="21"/>
              </w:rPr>
            </w:pP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套</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四</w:t>
            </w:r>
          </w:p>
        </w:tc>
        <w:tc>
          <w:tcPr>
            <w:tcW w:w="7704" w:type="dxa"/>
            <w:gridSpan w:val="5"/>
            <w:tcBorders>
              <w:right w:val="nil"/>
            </w:tcBorders>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lang w:val="en-US" w:eastAsia="zh-Hans"/>
              </w:rPr>
            </w:pPr>
            <w:r>
              <w:rPr>
                <w:rFonts w:hint="default" w:ascii="Times New Roman Regular" w:hAnsi="Times New Roman Regular" w:eastAsia="宋体" w:cs="Times New Roman Regular"/>
                <w:b w:val="0"/>
                <w:bCs w:val="0"/>
                <w:sz w:val="21"/>
                <w:szCs w:val="21"/>
              </w:rPr>
              <w:t>其</w:t>
            </w:r>
            <w:r>
              <w:rPr>
                <w:rFonts w:hint="default" w:ascii="Times New Roman Regular" w:hAnsi="Times New Roman Regular" w:eastAsia="宋体" w:cs="Times New Roman Regular"/>
                <w:b w:val="0"/>
                <w:bCs w:val="0"/>
                <w:sz w:val="21"/>
                <w:szCs w:val="21"/>
                <w:lang w:val="en-US" w:eastAsia="zh-Hans"/>
              </w:rPr>
              <w:t>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损纸碎浆机</w:t>
            </w:r>
          </w:p>
        </w:tc>
        <w:tc>
          <w:tcPr>
            <w:tcW w:w="3583" w:type="dxa"/>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2t/h，干损纸，c=2-3.5%</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浆泵</w:t>
            </w:r>
          </w:p>
        </w:tc>
        <w:tc>
          <w:tcPr>
            <w:tcW w:w="3583" w:type="dxa"/>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Q=60m</w:t>
            </w:r>
            <w:r>
              <w:rPr>
                <w:rFonts w:hint="default" w:ascii="Times New Roman Regular" w:hAnsi="Times New Roman Regular" w:eastAsia="宋体" w:cs="Times New Roman Regular"/>
                <w:sz w:val="21"/>
                <w:szCs w:val="21"/>
                <w:lang w:val="en-US" w:eastAsia="zh-Hans"/>
              </w:rPr>
              <w:t>³</w:t>
            </w:r>
            <w:r>
              <w:rPr>
                <w:rFonts w:hint="default" w:ascii="Times New Roman Regular" w:hAnsi="Times New Roman Regular" w:eastAsia="宋体" w:cs="Times New Roman Regular"/>
                <w:b w:val="0"/>
                <w:bCs w:val="0"/>
                <w:sz w:val="21"/>
                <w:szCs w:val="21"/>
              </w:rPr>
              <w:t>/h，H=20m，c=2-3.5%</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电动单梁起重机</w:t>
            </w:r>
          </w:p>
        </w:tc>
        <w:tc>
          <w:tcPr>
            <w:tcW w:w="3583" w:type="dxa"/>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5t，跨度8.4m，起吊高度5m</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电动单梁起重机</w:t>
            </w:r>
          </w:p>
        </w:tc>
        <w:tc>
          <w:tcPr>
            <w:tcW w:w="3583" w:type="dxa"/>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10t，跨度26m，起吊高度8.5m</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电动单梁起重机</w:t>
            </w:r>
          </w:p>
        </w:tc>
        <w:tc>
          <w:tcPr>
            <w:tcW w:w="3583" w:type="dxa"/>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3t，跨度6m，起吊高度10.5m</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电动单梁起重机</w:t>
            </w:r>
          </w:p>
        </w:tc>
        <w:tc>
          <w:tcPr>
            <w:tcW w:w="3583" w:type="dxa"/>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5t，跨度7m，起吊高度10.5m</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00" w:type="dxa"/>
            <w:tcBorders>
              <w:left w:val="nil"/>
            </w:tcBorders>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1934"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电动单梁起重机</w:t>
            </w:r>
          </w:p>
        </w:tc>
        <w:tc>
          <w:tcPr>
            <w:tcW w:w="3583" w:type="dxa"/>
            <w:noWrap w:val="0"/>
            <w:vAlign w:val="top"/>
          </w:tcPr>
          <w:p>
            <w:pPr>
              <w:bidi w:val="0"/>
              <w:ind w:left="0" w:leftChars="0" w:firstLine="0" w:firstLineChars="0"/>
              <w:jc w:val="center"/>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rPr>
              <w:t>5t，跨度21m，起吊高度4.5m</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695" w:type="dxa"/>
            <w:noWrap w:val="0"/>
            <w:vAlign w:val="top"/>
          </w:tcPr>
          <w:p>
            <w:pPr>
              <w:bidi w:val="0"/>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97" w:type="dxa"/>
            <w:tcBorders>
              <w:right w:val="nil"/>
            </w:tcBorders>
            <w:noWrap w:val="0"/>
            <w:vAlign w:val="top"/>
          </w:tcPr>
          <w:p>
            <w:pPr>
              <w:bidi w:val="0"/>
              <w:jc w:val="center"/>
              <w:rPr>
                <w:rFonts w:hint="eastAsia" w:ascii="宋体" w:hAnsi="宋体" w:eastAsia="宋体" w:cs="宋体"/>
                <w:b w:val="0"/>
                <w:bCs w:val="0"/>
                <w:sz w:val="21"/>
                <w:szCs w:val="21"/>
              </w:rPr>
            </w:pPr>
          </w:p>
        </w:tc>
      </w:tr>
    </w:tbl>
    <w:p>
      <w:pPr>
        <w:spacing w:before="312" w:line="322" w:lineRule="exact"/>
        <w:ind w:left="0" w:leftChars="0" w:firstLine="0" w:firstLineChars="0"/>
        <w:jc w:val="center"/>
        <w:rPr>
          <w:rFonts w:hint="eastAsia" w:ascii="宋体" w:hAnsi="宋体" w:eastAsia="宋体" w:cs="宋体"/>
          <w:b/>
          <w:bCs/>
          <w:spacing w:val="8"/>
          <w:position w:val="2"/>
          <w:sz w:val="21"/>
          <w:szCs w:val="21"/>
        </w:rPr>
      </w:pPr>
    </w:p>
    <w:p>
      <w:pPr>
        <w:spacing w:before="312" w:line="322" w:lineRule="exac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pacing w:val="8"/>
          <w:position w:val="2"/>
          <w:sz w:val="21"/>
          <w:szCs w:val="21"/>
        </w:rPr>
        <w:t>表</w:t>
      </w:r>
      <w:r>
        <w:rPr>
          <w:rFonts w:hint="default" w:ascii="宋体" w:hAnsi="宋体" w:eastAsia="宋体" w:cs="宋体"/>
          <w:b/>
          <w:bCs/>
          <w:spacing w:val="5"/>
          <w:position w:val="2"/>
          <w:sz w:val="21"/>
          <w:szCs w:val="21"/>
        </w:rPr>
        <w:t>3.2-4</w:t>
      </w:r>
      <w:r>
        <w:rPr>
          <w:rFonts w:hint="eastAsia" w:ascii="宋体" w:hAnsi="宋体" w:eastAsia="宋体" w:cs="宋体"/>
          <w:b/>
          <w:bCs/>
          <w:spacing w:val="4"/>
          <w:position w:val="2"/>
          <w:sz w:val="21"/>
          <w:szCs w:val="21"/>
        </w:rPr>
        <w:t>25</w:t>
      </w:r>
      <w:r>
        <w:rPr>
          <w:rFonts w:hint="eastAsia" w:ascii="宋体" w:hAnsi="宋体" w:eastAsia="宋体" w:cs="宋体"/>
          <w:b/>
          <w:bCs/>
          <w:position w:val="2"/>
          <w:sz w:val="21"/>
          <w:szCs w:val="21"/>
        </w:rPr>
        <w:t>t</w:t>
      </w:r>
      <w:r>
        <w:rPr>
          <w:rFonts w:hint="eastAsia" w:ascii="宋体" w:hAnsi="宋体" w:eastAsia="宋体" w:cs="宋体"/>
          <w:b/>
          <w:bCs/>
          <w:spacing w:val="4"/>
          <w:position w:val="2"/>
          <w:sz w:val="21"/>
          <w:szCs w:val="21"/>
        </w:rPr>
        <w:t>/</w:t>
      </w:r>
      <w:r>
        <w:rPr>
          <w:rFonts w:hint="eastAsia" w:ascii="宋体" w:hAnsi="宋体" w:eastAsia="宋体" w:cs="宋体"/>
          <w:b/>
          <w:bCs/>
          <w:position w:val="2"/>
          <w:sz w:val="21"/>
          <w:szCs w:val="21"/>
        </w:rPr>
        <w:t>d</w:t>
      </w:r>
      <w:r>
        <w:rPr>
          <w:rFonts w:hint="eastAsia" w:ascii="宋体" w:hAnsi="宋体" w:eastAsia="宋体" w:cs="宋体"/>
          <w:b/>
          <w:bCs/>
          <w:spacing w:val="4"/>
          <w:position w:val="2"/>
          <w:sz w:val="21"/>
          <w:szCs w:val="21"/>
        </w:rPr>
        <w:t>造纸生产线主要设备一览表</w:t>
      </w:r>
    </w:p>
    <w:p>
      <w:pPr>
        <w:spacing w:line="74" w:lineRule="exact"/>
        <w:jc w:val="center"/>
        <w:rPr>
          <w:rFonts w:hint="eastAsia" w:ascii="宋体" w:hAnsi="宋体" w:eastAsia="宋体" w:cs="宋体"/>
          <w:sz w:val="21"/>
          <w:szCs w:val="21"/>
        </w:rPr>
      </w:pPr>
    </w:p>
    <w:tbl>
      <w:tblPr>
        <w:tblStyle w:val="62"/>
        <w:tblW w:w="85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1934"/>
        <w:gridCol w:w="3583"/>
        <w:gridCol w:w="695"/>
        <w:gridCol w:w="695"/>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8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5"/>
                <w:sz w:val="21"/>
                <w:szCs w:val="21"/>
              </w:rPr>
              <w:t>序号</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8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设</w:t>
            </w:r>
            <w:r>
              <w:rPr>
                <w:rFonts w:hint="eastAsia" w:ascii="宋体" w:hAnsi="宋体" w:eastAsia="宋体" w:cs="宋体"/>
                <w:spacing w:val="6"/>
                <w:sz w:val="21"/>
                <w:szCs w:val="21"/>
              </w:rPr>
              <w:t>备名称</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8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7"/>
                <w:sz w:val="21"/>
                <w:szCs w:val="21"/>
              </w:rPr>
              <w:t>规格参数</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8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数</w:t>
            </w:r>
            <w:r>
              <w:rPr>
                <w:rFonts w:hint="eastAsia" w:ascii="宋体" w:hAnsi="宋体" w:eastAsia="宋体" w:cs="宋体"/>
                <w:spacing w:val="3"/>
                <w:sz w:val="21"/>
                <w:szCs w:val="21"/>
              </w:rPr>
              <w:t>量</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88"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单</w:t>
            </w:r>
            <w:r>
              <w:rPr>
                <w:rFonts w:hint="eastAsia" w:ascii="宋体" w:hAnsi="宋体" w:eastAsia="宋体" w:cs="宋体"/>
                <w:spacing w:val="3"/>
                <w:sz w:val="21"/>
                <w:szCs w:val="21"/>
              </w:rPr>
              <w:t>位</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8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备</w:t>
            </w:r>
            <w:r>
              <w:rPr>
                <w:rFonts w:hint="eastAsia" w:ascii="宋体" w:hAnsi="宋体" w:eastAsia="宋体" w:cs="宋体"/>
                <w:spacing w:val="3"/>
                <w:sz w:val="21"/>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51" w:line="240" w:lineRule="auto"/>
              <w:ind w:left="0" w:leftChars="0" w:firstLine="0" w:firstLineChars="0"/>
              <w:jc w:val="center"/>
              <w:textAlignment w:val="auto"/>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一</w:t>
            </w:r>
          </w:p>
        </w:tc>
        <w:tc>
          <w:tcPr>
            <w:tcW w:w="7704" w:type="dxa"/>
            <w:gridSpan w:val="5"/>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72" w:line="240" w:lineRule="auto"/>
              <w:ind w:left="115"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9"/>
                <w:sz w:val="21"/>
                <w:szCs w:val="21"/>
              </w:rPr>
              <w:t>备</w:t>
            </w:r>
            <w:r>
              <w:rPr>
                <w:rFonts w:hint="eastAsia" w:ascii="宋体" w:hAnsi="宋体" w:eastAsia="宋体" w:cs="宋体"/>
                <w:spacing w:val="8"/>
                <w:sz w:val="21"/>
                <w:szCs w:val="21"/>
              </w:rPr>
              <w:t>浆工段</w:t>
            </w:r>
            <w:r>
              <w:rPr>
                <w:rFonts w:hint="eastAsia" w:ascii="宋体" w:hAnsi="宋体" w:cs="宋体"/>
                <w:spacing w:val="8"/>
                <w:sz w:val="21"/>
                <w:szCs w:val="21"/>
                <w:lang w:eastAsia="zh-CN"/>
              </w:rPr>
              <w:t>（</w:t>
            </w:r>
            <w:r>
              <w:rPr>
                <w:rFonts w:hint="eastAsia" w:ascii="宋体" w:hAnsi="宋体" w:eastAsia="宋体" w:cs="宋体"/>
                <w:spacing w:val="8"/>
                <w:sz w:val="21"/>
                <w:szCs w:val="21"/>
              </w:rPr>
              <w:t>现有制浆车间</w:t>
            </w:r>
            <w:r>
              <w:rPr>
                <w:rFonts w:hint="eastAsia" w:ascii="宋体" w:hAnsi="宋体" w:cs="宋体"/>
                <w:spacing w:val="8"/>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双网供浆泵</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6"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Q</w:t>
            </w:r>
            <w:r>
              <w:rPr>
                <w:rFonts w:hint="default" w:ascii="Times New Roman Regular" w:hAnsi="Times New Roman Regular" w:eastAsia="宋体" w:cs="Times New Roman Regular"/>
                <w:spacing w:val="4"/>
                <w:position w:val="3"/>
                <w:sz w:val="21"/>
                <w:szCs w:val="21"/>
              </w:rPr>
              <w:t>=</w:t>
            </w:r>
            <w:r>
              <w:rPr>
                <w:rFonts w:hint="default" w:ascii="Times New Roman Regular" w:hAnsi="Times New Roman Regular" w:eastAsia="宋体" w:cs="Times New Roman Regular"/>
                <w:spacing w:val="3"/>
                <w:position w:val="3"/>
                <w:sz w:val="21"/>
                <w:szCs w:val="21"/>
              </w:rPr>
              <w:t>8</w:t>
            </w:r>
            <w:r>
              <w:rPr>
                <w:rFonts w:hint="default" w:ascii="Times New Roman Regular" w:hAnsi="Times New Roman Regular" w:eastAsia="宋体" w:cs="Times New Roman Regular"/>
                <w:spacing w:val="2"/>
                <w:position w:val="3"/>
                <w:sz w:val="21"/>
                <w:szCs w:val="21"/>
              </w:rPr>
              <w:t>0</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2"/>
                <w:position w:val="9"/>
                <w:sz w:val="21"/>
                <w:szCs w:val="21"/>
              </w:rPr>
              <w:t>3</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=26</w:t>
            </w:r>
            <w:r>
              <w:rPr>
                <w:rFonts w:hint="default" w:ascii="Times New Roman Regular" w:hAnsi="Times New Roman Regular" w:eastAsia="宋体" w:cs="Times New Roman Regular"/>
                <w:position w:val="3"/>
                <w:sz w:val="21"/>
                <w:szCs w:val="21"/>
              </w:rPr>
              <w:t>m</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7"/>
                <w:sz w:val="21"/>
                <w:szCs w:val="21"/>
              </w:rPr>
              <w:t>储浆塔</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6"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V</w:t>
            </w:r>
            <w:r>
              <w:rPr>
                <w:rFonts w:hint="default" w:ascii="Times New Roman Regular" w:hAnsi="Times New Roman Regular" w:eastAsia="宋体" w:cs="Times New Roman Regular"/>
                <w:spacing w:val="8"/>
                <w:position w:val="3"/>
                <w:sz w:val="21"/>
                <w:szCs w:val="21"/>
              </w:rPr>
              <w:t>=50</w:t>
            </w:r>
            <w:r>
              <w:rPr>
                <w:rFonts w:hint="default" w:ascii="Times New Roman Regular" w:hAnsi="Times New Roman Regular" w:eastAsia="宋体" w:cs="Times New Roman Regular"/>
                <w:spacing w:val="7"/>
                <w:position w:val="3"/>
                <w:sz w:val="21"/>
                <w:szCs w:val="21"/>
              </w:rPr>
              <w:t>0</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4"/>
                <w:position w:val="9"/>
                <w:sz w:val="21"/>
                <w:szCs w:val="21"/>
              </w:rPr>
              <w:t>3</w:t>
            </w:r>
            <w:r>
              <w:rPr>
                <w:rFonts w:hint="default" w:ascii="Times New Roman Regular" w:hAnsi="Times New Roman Regular" w:eastAsia="宋体" w:cs="Times New Roman Regular"/>
                <w:spacing w:val="4"/>
                <w:position w:val="3"/>
                <w:sz w:val="21"/>
                <w:szCs w:val="21"/>
              </w:rPr>
              <w:t>，φ5300/8500</w:t>
            </w:r>
            <w:r>
              <w:rPr>
                <w:rFonts w:hint="default" w:ascii="Times New Roman Regular" w:hAnsi="Times New Roman Regular" w:eastAsia="宋体" w:cs="Times New Roman Regular"/>
                <w:position w:val="3"/>
                <w:sz w:val="21"/>
                <w:szCs w:val="21"/>
              </w:rPr>
              <w:t>X</w:t>
            </w:r>
            <w:r>
              <w:rPr>
                <w:rFonts w:hint="default" w:ascii="Times New Roman Regular" w:hAnsi="Times New Roman Regular" w:eastAsia="宋体" w:cs="Times New Roman Regular"/>
                <w:spacing w:val="4"/>
                <w:position w:val="3"/>
                <w:sz w:val="21"/>
                <w:szCs w:val="21"/>
              </w:rPr>
              <w:t>13500</w:t>
            </w:r>
            <w:r>
              <w:rPr>
                <w:rFonts w:hint="default" w:ascii="Times New Roman Regular" w:hAnsi="Times New Roman Regular" w:eastAsia="宋体" w:cs="Times New Roman Regular"/>
                <w:position w:val="3"/>
                <w:sz w:val="21"/>
                <w:szCs w:val="21"/>
              </w:rPr>
              <w:t>mm</w:t>
            </w:r>
            <w:r>
              <w:rPr>
                <w:rFonts w:hint="default" w:ascii="Times New Roman Regular" w:hAnsi="Times New Roman Regular" w:eastAsia="宋体" w:cs="Times New Roman Regular"/>
                <w:spacing w:val="4"/>
                <w:position w:val="3"/>
                <w:sz w:val="21"/>
                <w:szCs w:val="21"/>
              </w:rPr>
              <w:t>，</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座</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消</w:t>
            </w:r>
            <w:r>
              <w:rPr>
                <w:rFonts w:hint="eastAsia" w:ascii="宋体" w:hAnsi="宋体" w:eastAsia="宋体" w:cs="宋体"/>
                <w:spacing w:val="5"/>
                <w:sz w:val="21"/>
                <w:szCs w:val="21"/>
              </w:rPr>
              <w:t>潜池</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6"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V</w:t>
            </w:r>
            <w:r>
              <w:rPr>
                <w:rFonts w:hint="default" w:ascii="Times New Roman Regular" w:hAnsi="Times New Roman Regular" w:eastAsia="宋体" w:cs="Times New Roman Regular"/>
                <w:spacing w:val="8"/>
                <w:position w:val="3"/>
                <w:sz w:val="21"/>
                <w:szCs w:val="21"/>
              </w:rPr>
              <w:t>=6</w:t>
            </w:r>
            <w:r>
              <w:rPr>
                <w:rFonts w:hint="default" w:ascii="Times New Roman Regular" w:hAnsi="Times New Roman Regular" w:eastAsia="宋体" w:cs="Times New Roman Regular"/>
                <w:spacing w:val="6"/>
                <w:position w:val="3"/>
                <w:sz w:val="21"/>
                <w:szCs w:val="21"/>
              </w:rPr>
              <w:t>0</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4"/>
                <w:position w:val="9"/>
                <w:sz w:val="21"/>
                <w:szCs w:val="21"/>
              </w:rPr>
              <w:t>3</w:t>
            </w:r>
            <w:r>
              <w:rPr>
                <w:rFonts w:hint="default" w:ascii="Times New Roman Regular" w:hAnsi="Times New Roman Regular" w:eastAsia="宋体" w:cs="Times New Roman Regular"/>
                <w:spacing w:val="4"/>
                <w:position w:val="3"/>
                <w:sz w:val="21"/>
                <w:szCs w:val="21"/>
              </w:rPr>
              <w:t>，φ3500</w:t>
            </w:r>
            <w:r>
              <w:rPr>
                <w:rFonts w:hint="default" w:ascii="Times New Roman Regular" w:hAnsi="Times New Roman Regular" w:eastAsia="宋体" w:cs="Times New Roman Regular"/>
                <w:position w:val="3"/>
                <w:sz w:val="21"/>
                <w:szCs w:val="21"/>
              </w:rPr>
              <w:t>X</w:t>
            </w:r>
            <w:r>
              <w:rPr>
                <w:rFonts w:hint="default" w:ascii="Times New Roman Regular" w:hAnsi="Times New Roman Regular" w:eastAsia="宋体" w:cs="Times New Roman Regular"/>
                <w:spacing w:val="4"/>
                <w:position w:val="3"/>
                <w:sz w:val="21"/>
                <w:szCs w:val="21"/>
              </w:rPr>
              <w:t>6000</w:t>
            </w:r>
            <w:r>
              <w:rPr>
                <w:rFonts w:hint="default" w:ascii="Times New Roman Regular" w:hAnsi="Times New Roman Regular" w:eastAsia="宋体" w:cs="Times New Roman Regular"/>
                <w:position w:val="3"/>
                <w:sz w:val="21"/>
                <w:szCs w:val="21"/>
              </w:rPr>
              <w:t>mm</w:t>
            </w:r>
            <w:r>
              <w:rPr>
                <w:rFonts w:hint="default" w:ascii="Times New Roman Regular" w:hAnsi="Times New Roman Regular" w:eastAsia="宋体" w:cs="Times New Roman Regular"/>
                <w:spacing w:val="4"/>
                <w:position w:val="3"/>
                <w:sz w:val="21"/>
                <w:szCs w:val="21"/>
              </w:rPr>
              <w:t>，</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座</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4</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双网压滤机</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5"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2"/>
                <w:sz w:val="21"/>
                <w:szCs w:val="21"/>
              </w:rPr>
              <w:t>YL</w:t>
            </w:r>
            <w:r>
              <w:rPr>
                <w:rFonts w:hint="default" w:ascii="Times New Roman Regular" w:hAnsi="Times New Roman Regular" w:eastAsia="宋体" w:cs="Times New Roman Regular"/>
                <w:spacing w:val="1"/>
                <w:position w:val="2"/>
                <w:sz w:val="21"/>
                <w:szCs w:val="21"/>
              </w:rPr>
              <w:t>2000</w:t>
            </w:r>
            <w:r>
              <w:rPr>
                <w:rFonts w:hint="default" w:ascii="Times New Roman Regular" w:hAnsi="Times New Roman Regular" w:eastAsia="宋体" w:cs="Times New Roman Regular"/>
                <w:position w:val="2"/>
                <w:sz w:val="21"/>
                <w:szCs w:val="21"/>
              </w:rPr>
              <w:t>，2t/h</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7"/>
                <w:sz w:val="21"/>
                <w:szCs w:val="21"/>
              </w:rPr>
              <w:t>高浓盘磨机</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HCR</w:t>
            </w:r>
            <w:r>
              <w:rPr>
                <w:rFonts w:hint="default" w:ascii="Times New Roman Regular" w:hAnsi="Times New Roman Regular" w:eastAsia="宋体" w:cs="Times New Roman Regular"/>
                <w:spacing w:val="10"/>
                <w:sz w:val="21"/>
                <w:szCs w:val="21"/>
              </w:rPr>
              <w:t>725</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匀</w:t>
            </w:r>
            <w:r>
              <w:rPr>
                <w:rFonts w:hint="eastAsia" w:ascii="宋体" w:hAnsi="宋体" w:eastAsia="宋体" w:cs="宋体"/>
                <w:spacing w:val="5"/>
                <w:sz w:val="21"/>
                <w:szCs w:val="21"/>
              </w:rPr>
              <w:t>整磨</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6"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6"/>
                <w:position w:val="1"/>
                <w:sz w:val="21"/>
                <w:szCs w:val="21"/>
              </w:rPr>
              <w:t>产量：2</w:t>
            </w:r>
            <w:r>
              <w:rPr>
                <w:rFonts w:hint="default" w:ascii="Times New Roman Regular" w:hAnsi="Times New Roman Regular" w:eastAsia="宋体" w:cs="Times New Roman Regular"/>
                <w:spacing w:val="4"/>
                <w:position w:val="1"/>
                <w:sz w:val="21"/>
                <w:szCs w:val="21"/>
              </w:rPr>
              <w:t>5</w:t>
            </w:r>
            <w:r>
              <w:rPr>
                <w:rFonts w:hint="default" w:ascii="Times New Roman Regular" w:hAnsi="Times New Roman Regular" w:eastAsia="宋体" w:cs="Times New Roman Regular"/>
                <w:position w:val="1"/>
                <w:sz w:val="21"/>
                <w:szCs w:val="21"/>
              </w:rPr>
              <w:t>t</w:t>
            </w:r>
            <w:r>
              <w:rPr>
                <w:rFonts w:hint="default" w:ascii="Times New Roman Regular" w:hAnsi="Times New Roman Regular" w:eastAsia="宋体" w:cs="Times New Roman Regular"/>
                <w:spacing w:val="3"/>
                <w:position w:val="1"/>
                <w:sz w:val="21"/>
                <w:szCs w:val="21"/>
              </w:rPr>
              <w:t>/16</w:t>
            </w:r>
            <w:r>
              <w:rPr>
                <w:rFonts w:hint="default" w:ascii="Times New Roman Regular" w:hAnsi="Times New Roman Regular" w:eastAsia="宋体" w:cs="Times New Roman Regular"/>
                <w:position w:val="1"/>
                <w:sz w:val="21"/>
                <w:szCs w:val="21"/>
              </w:rPr>
              <w:t>h</w:t>
            </w:r>
            <w:r>
              <w:rPr>
                <w:rFonts w:hint="default" w:ascii="Times New Roman Regular" w:hAnsi="Times New Roman Regular" w:eastAsia="宋体" w:cs="Times New Roman Regular"/>
                <w:spacing w:val="3"/>
                <w:position w:val="1"/>
                <w:sz w:val="21"/>
                <w:szCs w:val="21"/>
              </w:rPr>
              <w:t>，浓度：3.5-5.5%</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已扣</w:t>
            </w:r>
            <w:r>
              <w:rPr>
                <w:rFonts w:hint="eastAsia" w:ascii="宋体" w:hAnsi="宋体" w:eastAsia="宋体" w:cs="宋体"/>
                <w:spacing w:val="1"/>
                <w:sz w:val="21"/>
                <w:szCs w:val="21"/>
              </w:rPr>
              <w:t>浆塔</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7"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V</w:t>
            </w:r>
            <w:r>
              <w:rPr>
                <w:rFonts w:hint="default" w:ascii="Times New Roman Regular" w:hAnsi="Times New Roman Regular" w:eastAsia="宋体" w:cs="Times New Roman Regular"/>
                <w:spacing w:val="2"/>
                <w:position w:val="3"/>
                <w:sz w:val="21"/>
                <w:szCs w:val="21"/>
              </w:rPr>
              <w:t>=100</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2"/>
                <w:position w:val="9"/>
                <w:sz w:val="21"/>
                <w:szCs w:val="21"/>
              </w:rPr>
              <w:t>3</w:t>
            </w:r>
            <w:r>
              <w:rPr>
                <w:rFonts w:hint="default" w:ascii="Times New Roman Regular" w:hAnsi="Times New Roman Regular" w:eastAsia="宋体" w:cs="Times New Roman Regular"/>
                <w:spacing w:val="2"/>
                <w:position w:val="3"/>
                <w:sz w:val="21"/>
                <w:szCs w:val="21"/>
              </w:rPr>
              <w:t>，φ3500</w:t>
            </w:r>
            <w:r>
              <w:rPr>
                <w:rFonts w:hint="default" w:ascii="Times New Roman Regular" w:hAnsi="Times New Roman Regular" w:eastAsia="宋体" w:cs="Times New Roman Regular"/>
                <w:position w:val="3"/>
                <w:sz w:val="21"/>
                <w:szCs w:val="21"/>
              </w:rPr>
              <w:t>X</w:t>
            </w:r>
            <w:r>
              <w:rPr>
                <w:rFonts w:hint="default" w:ascii="Times New Roman Regular" w:hAnsi="Times New Roman Regular" w:eastAsia="宋体" w:cs="Times New Roman Regular"/>
                <w:spacing w:val="2"/>
                <w:position w:val="3"/>
                <w:sz w:val="21"/>
                <w:szCs w:val="21"/>
              </w:rPr>
              <w:t>12000</w:t>
            </w:r>
            <w:r>
              <w:rPr>
                <w:rFonts w:hint="default" w:ascii="Times New Roman Regular" w:hAnsi="Times New Roman Regular" w:eastAsia="宋体" w:cs="Times New Roman Regular"/>
                <w:position w:val="3"/>
                <w:sz w:val="21"/>
                <w:szCs w:val="21"/>
              </w:rPr>
              <w:t>mm，</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座</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白</w:t>
            </w:r>
            <w:r>
              <w:rPr>
                <w:rFonts w:hint="eastAsia" w:ascii="宋体" w:hAnsi="宋体" w:eastAsia="宋体" w:cs="宋体"/>
                <w:spacing w:val="4"/>
                <w:sz w:val="21"/>
                <w:szCs w:val="21"/>
              </w:rPr>
              <w:t>水塔沉淀水泵</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7"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Q</w:t>
            </w:r>
            <w:r>
              <w:rPr>
                <w:rFonts w:hint="default" w:ascii="Times New Roman Regular" w:hAnsi="Times New Roman Regular" w:eastAsia="宋体" w:cs="Times New Roman Regular"/>
                <w:spacing w:val="4"/>
                <w:position w:val="3"/>
                <w:sz w:val="21"/>
                <w:szCs w:val="21"/>
              </w:rPr>
              <w:t>=</w:t>
            </w:r>
            <w:r>
              <w:rPr>
                <w:rFonts w:hint="default" w:ascii="Times New Roman Regular" w:hAnsi="Times New Roman Regular" w:eastAsia="宋体" w:cs="Times New Roman Regular"/>
                <w:spacing w:val="3"/>
                <w:position w:val="3"/>
                <w:sz w:val="21"/>
                <w:szCs w:val="21"/>
              </w:rPr>
              <w:t>8</w:t>
            </w:r>
            <w:r>
              <w:rPr>
                <w:rFonts w:hint="default" w:ascii="Times New Roman Regular" w:hAnsi="Times New Roman Regular" w:eastAsia="宋体" w:cs="Times New Roman Regular"/>
                <w:spacing w:val="2"/>
                <w:position w:val="3"/>
                <w:sz w:val="21"/>
                <w:szCs w:val="21"/>
              </w:rPr>
              <w:t>0</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2"/>
                <w:position w:val="9"/>
                <w:sz w:val="21"/>
                <w:szCs w:val="21"/>
              </w:rPr>
              <w:t>3</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=26</w:t>
            </w:r>
            <w:r>
              <w:rPr>
                <w:rFonts w:hint="default" w:ascii="Times New Roman Regular" w:hAnsi="Times New Roman Regular" w:eastAsia="宋体" w:cs="Times New Roman Regular"/>
                <w:position w:val="3"/>
                <w:sz w:val="21"/>
                <w:szCs w:val="21"/>
              </w:rPr>
              <w:t>m</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匀</w:t>
            </w:r>
            <w:r>
              <w:rPr>
                <w:rFonts w:hint="eastAsia" w:ascii="宋体" w:hAnsi="宋体" w:eastAsia="宋体" w:cs="宋体"/>
                <w:spacing w:val="7"/>
                <w:sz w:val="21"/>
                <w:szCs w:val="21"/>
              </w:rPr>
              <w:t>整磨供浆泵</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7"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Q</w:t>
            </w:r>
            <w:r>
              <w:rPr>
                <w:rFonts w:hint="default" w:ascii="Times New Roman Regular" w:hAnsi="Times New Roman Regular" w:eastAsia="宋体" w:cs="Times New Roman Regular"/>
                <w:spacing w:val="4"/>
                <w:position w:val="3"/>
                <w:sz w:val="21"/>
                <w:szCs w:val="21"/>
              </w:rPr>
              <w:t>=</w:t>
            </w:r>
            <w:r>
              <w:rPr>
                <w:rFonts w:hint="default" w:ascii="Times New Roman Regular" w:hAnsi="Times New Roman Regular" w:eastAsia="宋体" w:cs="Times New Roman Regular"/>
                <w:spacing w:val="3"/>
                <w:position w:val="3"/>
                <w:sz w:val="21"/>
                <w:szCs w:val="21"/>
              </w:rPr>
              <w:t>6</w:t>
            </w:r>
            <w:r>
              <w:rPr>
                <w:rFonts w:hint="default" w:ascii="Times New Roman Regular" w:hAnsi="Times New Roman Regular" w:eastAsia="宋体" w:cs="Times New Roman Regular"/>
                <w:spacing w:val="2"/>
                <w:position w:val="3"/>
                <w:sz w:val="21"/>
                <w:szCs w:val="21"/>
              </w:rPr>
              <w:t>0</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2"/>
                <w:position w:val="9"/>
                <w:sz w:val="21"/>
                <w:szCs w:val="21"/>
              </w:rPr>
              <w:t>3</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=40</w:t>
            </w:r>
            <w:r>
              <w:rPr>
                <w:rFonts w:hint="default" w:ascii="Times New Roman Regular" w:hAnsi="Times New Roman Regular" w:eastAsia="宋体" w:cs="Times New Roman Regular"/>
                <w:position w:val="3"/>
                <w:sz w:val="21"/>
                <w:szCs w:val="21"/>
              </w:rPr>
              <w:t>m</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5"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0</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送</w:t>
            </w:r>
            <w:r>
              <w:rPr>
                <w:rFonts w:hint="eastAsia" w:ascii="宋体" w:hAnsi="宋体" w:eastAsia="宋体" w:cs="宋体"/>
                <w:spacing w:val="7"/>
                <w:sz w:val="21"/>
                <w:szCs w:val="21"/>
              </w:rPr>
              <w:t>浆泵</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5"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Q</w:t>
            </w:r>
            <w:r>
              <w:rPr>
                <w:rFonts w:hint="default" w:ascii="Times New Roman Regular" w:hAnsi="Times New Roman Regular" w:eastAsia="宋体" w:cs="Times New Roman Regular"/>
                <w:spacing w:val="4"/>
                <w:position w:val="3"/>
                <w:sz w:val="21"/>
                <w:szCs w:val="21"/>
              </w:rPr>
              <w:t>=</w:t>
            </w:r>
            <w:r>
              <w:rPr>
                <w:rFonts w:hint="default" w:ascii="Times New Roman Regular" w:hAnsi="Times New Roman Regular" w:eastAsia="宋体" w:cs="Times New Roman Regular"/>
                <w:spacing w:val="3"/>
                <w:position w:val="3"/>
                <w:sz w:val="21"/>
                <w:szCs w:val="21"/>
              </w:rPr>
              <w:t>8</w:t>
            </w:r>
            <w:r>
              <w:rPr>
                <w:rFonts w:hint="default" w:ascii="Times New Roman Regular" w:hAnsi="Times New Roman Regular" w:eastAsia="宋体" w:cs="Times New Roman Regular"/>
                <w:spacing w:val="2"/>
                <w:position w:val="3"/>
                <w:sz w:val="21"/>
                <w:szCs w:val="21"/>
              </w:rPr>
              <w:t>0</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2"/>
                <w:position w:val="9"/>
                <w:sz w:val="21"/>
                <w:szCs w:val="21"/>
              </w:rPr>
              <w:t>3</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w:t>
            </w:r>
            <w:r>
              <w:rPr>
                <w:rFonts w:hint="default" w:ascii="Times New Roman Regular" w:hAnsi="Times New Roman Regular" w:eastAsia="宋体" w:cs="Times New Roman Regular"/>
                <w:position w:val="3"/>
                <w:sz w:val="21"/>
                <w:szCs w:val="21"/>
              </w:rPr>
              <w:t>H</w:t>
            </w:r>
            <w:r>
              <w:rPr>
                <w:rFonts w:hint="default" w:ascii="Times New Roman Regular" w:hAnsi="Times New Roman Regular" w:eastAsia="宋体" w:cs="Times New Roman Regular"/>
                <w:spacing w:val="2"/>
                <w:position w:val="3"/>
                <w:sz w:val="21"/>
                <w:szCs w:val="21"/>
              </w:rPr>
              <w:t>=32</w:t>
            </w:r>
            <w:r>
              <w:rPr>
                <w:rFonts w:hint="default" w:ascii="Times New Roman Regular" w:hAnsi="Times New Roman Regular" w:eastAsia="宋体" w:cs="Times New Roman Regular"/>
                <w:position w:val="3"/>
                <w:sz w:val="21"/>
                <w:szCs w:val="21"/>
              </w:rPr>
              <w:t>m</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99"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9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7704" w:type="dxa"/>
            <w:gridSpan w:val="5"/>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52" w:line="240" w:lineRule="auto"/>
              <w:ind w:left="114" w:firstLine="0" w:firstLineChars="0"/>
              <w:jc w:val="center"/>
              <w:textAlignment w:val="auto"/>
              <w:rPr>
                <w:rFonts w:hint="eastAsia" w:ascii="Times New Roman Regular" w:hAnsi="Times New Roman Regular" w:eastAsia="宋体" w:cs="Times New Roman Regular"/>
                <w:sz w:val="21"/>
                <w:szCs w:val="21"/>
                <w:lang w:eastAsia="zh-CN"/>
              </w:rPr>
            </w:pPr>
            <w:r>
              <w:rPr>
                <w:rFonts w:hint="default" w:ascii="Times New Roman Regular" w:hAnsi="Times New Roman Regular" w:eastAsia="宋体" w:cs="Times New Roman Regular"/>
                <w:spacing w:val="6"/>
                <w:sz w:val="21"/>
                <w:szCs w:val="21"/>
              </w:rPr>
              <w:t>抄纸工段</w:t>
            </w:r>
            <w:r>
              <w:rPr>
                <w:rFonts w:hint="eastAsia" w:ascii="Times New Roman Regular" w:hAnsi="Times New Roman Regular" w:cs="Times New Roman Regular"/>
                <w:spacing w:val="6"/>
                <w:sz w:val="21"/>
                <w:szCs w:val="21"/>
                <w:lang w:eastAsia="zh-CN"/>
              </w:rPr>
              <w:t>（</w:t>
            </w:r>
            <w:r>
              <w:rPr>
                <w:rFonts w:hint="default" w:ascii="Times New Roman Regular" w:hAnsi="Times New Roman Regular" w:eastAsia="宋体" w:cs="Times New Roman Regular"/>
                <w:spacing w:val="6"/>
                <w:sz w:val="21"/>
                <w:szCs w:val="21"/>
              </w:rPr>
              <w:t>25吨</w:t>
            </w:r>
            <w:r>
              <w:rPr>
                <w:rFonts w:hint="eastAsia" w:ascii="Times New Roman Regular" w:hAnsi="Times New Roman Regular" w:cs="Times New Roman Regular"/>
                <w:spacing w:val="5"/>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7"/>
                <w:sz w:val="21"/>
                <w:szCs w:val="21"/>
              </w:rPr>
              <w:t>抄</w:t>
            </w:r>
            <w:r>
              <w:rPr>
                <w:rFonts w:hint="eastAsia" w:ascii="宋体" w:hAnsi="宋体" w:eastAsia="宋体" w:cs="宋体"/>
                <w:spacing w:val="6"/>
                <w:sz w:val="21"/>
                <w:szCs w:val="21"/>
              </w:rPr>
              <w:t>前池</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6"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V</w:t>
            </w:r>
            <w:r>
              <w:rPr>
                <w:rFonts w:hint="default" w:ascii="Times New Roman Regular" w:hAnsi="Times New Roman Regular" w:eastAsia="宋体" w:cs="Times New Roman Regular"/>
                <w:spacing w:val="2"/>
                <w:position w:val="3"/>
                <w:sz w:val="21"/>
                <w:szCs w:val="21"/>
              </w:rPr>
              <w:t>=11</w:t>
            </w:r>
            <w:r>
              <w:rPr>
                <w:rFonts w:hint="default" w:ascii="Times New Roman Regular" w:hAnsi="Times New Roman Regular" w:eastAsia="宋体" w:cs="Times New Roman Regular"/>
                <w:spacing w:val="1"/>
                <w:position w:val="3"/>
                <w:sz w:val="21"/>
                <w:szCs w:val="21"/>
              </w:rPr>
              <w:t>7</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1"/>
                <w:position w:val="9"/>
                <w:sz w:val="21"/>
                <w:szCs w:val="21"/>
              </w:rPr>
              <w:t>3</w:t>
            </w:r>
            <w:r>
              <w:rPr>
                <w:rFonts w:hint="default" w:ascii="Times New Roman Regular" w:hAnsi="Times New Roman Regular" w:eastAsia="宋体" w:cs="Times New Roman Regular"/>
                <w:spacing w:val="1"/>
                <w:position w:val="3"/>
                <w:sz w:val="21"/>
                <w:szCs w:val="21"/>
              </w:rPr>
              <w:t>，φ5000</w:t>
            </w:r>
            <w:r>
              <w:rPr>
                <w:rFonts w:hint="default" w:ascii="Times New Roman Regular" w:hAnsi="Times New Roman Regular" w:eastAsia="宋体" w:cs="Times New Roman Regular"/>
                <w:position w:val="3"/>
                <w:sz w:val="21"/>
                <w:szCs w:val="21"/>
              </w:rPr>
              <w:t>X</w:t>
            </w:r>
            <w:r>
              <w:rPr>
                <w:rFonts w:hint="default" w:ascii="Times New Roman Regular" w:hAnsi="Times New Roman Regular" w:eastAsia="宋体" w:cs="Times New Roman Regular"/>
                <w:spacing w:val="1"/>
                <w:position w:val="3"/>
                <w:sz w:val="21"/>
                <w:szCs w:val="21"/>
              </w:rPr>
              <w:t>6000</w:t>
            </w:r>
            <w:r>
              <w:rPr>
                <w:rFonts w:hint="default" w:ascii="Times New Roman Regular" w:hAnsi="Times New Roman Regular" w:eastAsia="宋体" w:cs="Times New Roman Regular"/>
                <w:position w:val="3"/>
                <w:sz w:val="21"/>
                <w:szCs w:val="21"/>
              </w:rPr>
              <w:t>mm</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7"/>
                <w:sz w:val="21"/>
                <w:szCs w:val="21"/>
              </w:rPr>
              <w:t>压</w:t>
            </w:r>
            <w:r>
              <w:rPr>
                <w:rFonts w:hint="eastAsia" w:ascii="宋体" w:hAnsi="宋体" w:eastAsia="宋体" w:cs="宋体"/>
                <w:spacing w:val="6"/>
                <w:sz w:val="21"/>
                <w:szCs w:val="21"/>
              </w:rPr>
              <w:t>力筛</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4"/>
                <w:sz w:val="21"/>
                <w:szCs w:val="21"/>
              </w:rPr>
              <w:t>筛缝0.</w:t>
            </w:r>
            <w:r>
              <w:rPr>
                <w:rFonts w:hint="default" w:ascii="Times New Roman Regular" w:hAnsi="Times New Roman Regular" w:eastAsia="宋体" w:cs="Times New Roman Regular"/>
                <w:spacing w:val="-2"/>
                <w:sz w:val="21"/>
                <w:szCs w:val="21"/>
              </w:rPr>
              <w:t>35mm，8P</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0"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跳筛</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101"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3"/>
                <w:sz w:val="21"/>
                <w:szCs w:val="21"/>
              </w:rPr>
              <w:t>1m²</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6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4</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8"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蒸</w:t>
            </w:r>
            <w:r>
              <w:rPr>
                <w:rFonts w:hint="eastAsia" w:ascii="宋体" w:hAnsi="宋体" w:eastAsia="宋体" w:cs="宋体"/>
                <w:spacing w:val="7"/>
                <w:sz w:val="21"/>
                <w:szCs w:val="21"/>
              </w:rPr>
              <w:t>汽分汽缸</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7"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3"/>
                <w:sz w:val="21"/>
                <w:szCs w:val="21"/>
              </w:rPr>
              <w:t>V</w:t>
            </w:r>
            <w:r>
              <w:rPr>
                <w:rFonts w:hint="default" w:ascii="Times New Roman Regular" w:hAnsi="Times New Roman Regular" w:eastAsia="宋体" w:cs="Times New Roman Regular"/>
                <w:spacing w:val="5"/>
                <w:position w:val="3"/>
                <w:sz w:val="21"/>
                <w:szCs w:val="21"/>
              </w:rPr>
              <w:t>=2.6</w:t>
            </w:r>
            <w:r>
              <w:rPr>
                <w:rFonts w:hint="default" w:ascii="Times New Roman Regular" w:hAnsi="Times New Roman Regular" w:eastAsia="宋体" w:cs="Times New Roman Regular"/>
                <w:position w:val="3"/>
                <w:sz w:val="21"/>
                <w:szCs w:val="21"/>
              </w:rPr>
              <w:t>m</w:t>
            </w:r>
            <w:r>
              <w:rPr>
                <w:rFonts w:hint="default" w:ascii="Times New Roman Regular" w:hAnsi="Times New Roman Regular" w:eastAsia="宋体" w:cs="Times New Roman Regular"/>
                <w:spacing w:val="5"/>
                <w:position w:val="9"/>
                <w:sz w:val="21"/>
                <w:szCs w:val="21"/>
              </w:rPr>
              <w:t>3</w:t>
            </w:r>
            <w:r>
              <w:rPr>
                <w:rFonts w:hint="default" w:ascii="Times New Roman Regular" w:hAnsi="Times New Roman Regular" w:eastAsia="宋体" w:cs="Times New Roman Regular"/>
                <w:spacing w:val="5"/>
                <w:position w:val="3"/>
                <w:sz w:val="21"/>
                <w:szCs w:val="21"/>
              </w:rPr>
              <w:t>，φ1200</w:t>
            </w:r>
            <w:r>
              <w:rPr>
                <w:rFonts w:hint="default" w:ascii="Times New Roman Regular" w:hAnsi="Times New Roman Regular" w:eastAsia="宋体" w:cs="Times New Roman Regular"/>
                <w:position w:val="3"/>
                <w:sz w:val="21"/>
                <w:szCs w:val="21"/>
              </w:rPr>
              <w:t>X</w:t>
            </w:r>
            <w:r>
              <w:rPr>
                <w:rFonts w:hint="default" w:ascii="Times New Roman Regular" w:hAnsi="Times New Roman Regular" w:eastAsia="宋体" w:cs="Times New Roman Regular"/>
                <w:spacing w:val="5"/>
                <w:position w:val="3"/>
                <w:sz w:val="21"/>
                <w:szCs w:val="21"/>
              </w:rPr>
              <w:t>185</w:t>
            </w:r>
            <w:r>
              <w:rPr>
                <w:rFonts w:hint="default" w:ascii="Times New Roman Regular" w:hAnsi="Times New Roman Regular" w:eastAsia="宋体" w:cs="Times New Roman Regular"/>
                <w:spacing w:val="2"/>
                <w:position w:val="3"/>
                <w:sz w:val="21"/>
                <w:szCs w:val="21"/>
              </w:rPr>
              <w:t>0</w:t>
            </w:r>
            <w:r>
              <w:rPr>
                <w:rFonts w:hint="default" w:ascii="Times New Roman Regular" w:hAnsi="Times New Roman Regular" w:eastAsia="宋体" w:cs="Times New Roman Regular"/>
                <w:position w:val="3"/>
                <w:sz w:val="21"/>
                <w:szCs w:val="21"/>
              </w:rPr>
              <w:t>mm</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5"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7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135"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7"/>
                <w:sz w:val="21"/>
                <w:szCs w:val="21"/>
              </w:rPr>
              <w:t>抄</w:t>
            </w:r>
            <w:r>
              <w:rPr>
                <w:rFonts w:hint="eastAsia" w:ascii="宋体" w:hAnsi="宋体" w:eastAsia="宋体" w:cs="宋体"/>
                <w:spacing w:val="6"/>
                <w:sz w:val="21"/>
                <w:szCs w:val="21"/>
              </w:rPr>
              <w:t>纸机</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106"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3"/>
                <w:sz w:val="21"/>
                <w:szCs w:val="21"/>
              </w:rPr>
              <w:t>定量：11-45</w:t>
            </w:r>
            <w:r>
              <w:rPr>
                <w:rFonts w:hint="default" w:ascii="Times New Roman Regular" w:hAnsi="Times New Roman Regular" w:eastAsia="宋体" w:cs="Times New Roman Regular"/>
                <w:sz w:val="21"/>
                <w:szCs w:val="21"/>
              </w:rPr>
              <w:t>g</w:t>
            </w:r>
            <w:r>
              <w:rPr>
                <w:rFonts w:hint="default" w:ascii="Times New Roman Regular" w:hAnsi="Times New Roman Regular" w:eastAsia="宋体" w:cs="Times New Roman Regular"/>
                <w:spacing w:val="3"/>
                <w:sz w:val="21"/>
                <w:szCs w:val="21"/>
              </w:rPr>
              <w:t>/</w:t>
            </w:r>
            <w:r>
              <w:rPr>
                <w:rFonts w:hint="default" w:ascii="Times New Roman Regular" w:hAnsi="Times New Roman Regular" w:eastAsia="宋体" w:cs="Times New Roman Regular"/>
                <w:sz w:val="21"/>
                <w:szCs w:val="21"/>
              </w:rPr>
              <w:t>m</w:t>
            </w:r>
            <w:r>
              <w:rPr>
                <w:rFonts w:hint="default" w:ascii="Times New Roman Regular" w:hAnsi="Times New Roman Regular" w:eastAsia="宋体" w:cs="Times New Roman Regular"/>
                <w:spacing w:val="3"/>
                <w:position w:val="6"/>
                <w:sz w:val="21"/>
                <w:szCs w:val="21"/>
              </w:rPr>
              <w:t>2</w:t>
            </w:r>
            <w:r>
              <w:rPr>
                <w:rFonts w:hint="default" w:ascii="Times New Roman Regular" w:hAnsi="Times New Roman Regular" w:eastAsia="宋体" w:cs="Times New Roman Regular"/>
                <w:spacing w:val="3"/>
                <w:sz w:val="21"/>
                <w:szCs w:val="21"/>
              </w:rPr>
              <w:t>，工作车速：750</w:t>
            </w:r>
            <w:r>
              <w:rPr>
                <w:rFonts w:hint="default" w:ascii="Times New Roman Regular" w:hAnsi="Times New Roman Regular" w:eastAsia="宋体" w:cs="Times New Roman Regular"/>
                <w:sz w:val="21"/>
                <w:szCs w:val="21"/>
              </w:rPr>
              <w:t>m</w:t>
            </w:r>
            <w:r>
              <w:rPr>
                <w:rFonts w:hint="default" w:ascii="Times New Roman Regular" w:hAnsi="Times New Roman Regular" w:eastAsia="宋体" w:cs="Times New Roman Regular"/>
                <w:spacing w:val="3"/>
                <w:sz w:val="21"/>
                <w:szCs w:val="21"/>
              </w:rPr>
              <w:t>/</w:t>
            </w:r>
            <w:r>
              <w:rPr>
                <w:rFonts w:hint="default" w:ascii="Times New Roman Regular" w:hAnsi="Times New Roman Regular" w:eastAsia="宋体" w:cs="Times New Roman Regular"/>
                <w:sz w:val="21"/>
                <w:szCs w:val="21"/>
              </w:rPr>
              <w:t>min</w:t>
            </w:r>
            <w:r>
              <w:rPr>
                <w:rFonts w:hint="default" w:ascii="Times New Roman Regular" w:hAnsi="Times New Roman Regular" w:eastAsia="宋体" w:cs="Times New Roman Regular"/>
                <w:spacing w:val="12"/>
                <w:sz w:val="21"/>
                <w:szCs w:val="21"/>
              </w:rPr>
              <w:t>净纸宽：2850</w:t>
            </w:r>
            <w:r>
              <w:rPr>
                <w:rFonts w:hint="default" w:ascii="Times New Roman Regular" w:hAnsi="Times New Roman Regular" w:eastAsia="宋体" w:cs="Times New Roman Regular"/>
                <w:sz w:val="21"/>
                <w:szCs w:val="21"/>
              </w:rPr>
              <w:t>mm</w:t>
            </w:r>
            <w:r>
              <w:rPr>
                <w:rFonts w:hint="default" w:ascii="Times New Roman Regular" w:hAnsi="Times New Roman Regular" w:eastAsia="宋体" w:cs="Times New Roman Regular"/>
                <w:spacing w:val="12"/>
                <w:sz w:val="21"/>
                <w:szCs w:val="21"/>
              </w:rPr>
              <w:t>抄造率97%</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7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35"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6"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白</w:t>
            </w:r>
            <w:r>
              <w:rPr>
                <w:rFonts w:hint="eastAsia" w:ascii="宋体" w:hAnsi="宋体" w:eastAsia="宋体" w:cs="宋体"/>
                <w:spacing w:val="-3"/>
                <w:sz w:val="21"/>
                <w:szCs w:val="21"/>
              </w:rPr>
              <w:t>水池</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8"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1"/>
                <w:sz w:val="21"/>
                <w:szCs w:val="21"/>
              </w:rPr>
              <w:t>V</w:t>
            </w:r>
            <w:r>
              <w:rPr>
                <w:rFonts w:hint="default" w:ascii="Times New Roman Regular" w:hAnsi="Times New Roman Regular" w:eastAsia="宋体" w:cs="Times New Roman Regular"/>
                <w:spacing w:val="8"/>
                <w:position w:val="1"/>
                <w:sz w:val="21"/>
                <w:szCs w:val="21"/>
              </w:rPr>
              <w:t>=30</w:t>
            </w:r>
            <w:r>
              <w:rPr>
                <w:rFonts w:hint="default" w:ascii="Times New Roman Regular" w:hAnsi="Times New Roman Regular" w:eastAsia="宋体" w:cs="Times New Roman Regular"/>
                <w:position w:val="1"/>
                <w:sz w:val="21"/>
                <w:szCs w:val="21"/>
              </w:rPr>
              <w:t>m</w:t>
            </w:r>
            <w:r>
              <w:rPr>
                <w:rFonts w:hint="default" w:ascii="Times New Roman Regular" w:hAnsi="Times New Roman Regular" w:eastAsia="宋体" w:cs="Times New Roman Regular"/>
                <w:spacing w:val="8"/>
                <w:position w:val="7"/>
                <w:sz w:val="21"/>
                <w:szCs w:val="21"/>
              </w:rPr>
              <w:t>3</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6"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座</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66"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6"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9"/>
                <w:sz w:val="21"/>
                <w:szCs w:val="21"/>
              </w:rPr>
              <w:t>一</w:t>
            </w:r>
            <w:r>
              <w:rPr>
                <w:rFonts w:hint="eastAsia" w:ascii="宋体" w:hAnsi="宋体" w:eastAsia="宋体" w:cs="宋体"/>
                <w:spacing w:val="8"/>
                <w:sz w:val="21"/>
                <w:szCs w:val="21"/>
              </w:rPr>
              <w:t>段低浓除渣器</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103"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9"/>
                <w:sz w:val="21"/>
                <w:szCs w:val="21"/>
              </w:rPr>
              <w:t>1</w:t>
            </w:r>
            <w:r>
              <w:rPr>
                <w:rFonts w:hint="default" w:ascii="Times New Roman Regular" w:hAnsi="Times New Roman Regular" w:eastAsia="宋体" w:cs="Times New Roman Regular"/>
                <w:spacing w:val="5"/>
                <w:sz w:val="21"/>
                <w:szCs w:val="21"/>
              </w:rPr>
              <w:t>6-</w:t>
            </w:r>
            <w:r>
              <w:rPr>
                <w:rFonts w:hint="default" w:ascii="Times New Roman Regular" w:hAnsi="Times New Roman Regular" w:eastAsia="宋体" w:cs="Times New Roman Regular"/>
                <w:sz w:val="21"/>
                <w:szCs w:val="21"/>
              </w:rPr>
              <w:t>ZCF</w:t>
            </w:r>
            <w:r>
              <w:rPr>
                <w:rFonts w:hint="default" w:ascii="Times New Roman Regular" w:hAnsi="Times New Roman Regular" w:eastAsia="宋体" w:cs="Times New Roman Regular"/>
                <w:spacing w:val="5"/>
                <w:sz w:val="21"/>
                <w:szCs w:val="21"/>
              </w:rPr>
              <w:t>130</w:t>
            </w:r>
            <w:r>
              <w:rPr>
                <w:rFonts w:hint="default" w:ascii="Times New Roman Regular" w:hAnsi="Times New Roman Regular" w:eastAsia="宋体" w:cs="Times New Roman Regular"/>
                <w:sz w:val="21"/>
                <w:szCs w:val="21"/>
              </w:rPr>
              <w:t>R</w:t>
            </w:r>
            <w:r>
              <w:rPr>
                <w:rFonts w:hint="default" w:ascii="Times New Roman Regular" w:hAnsi="Times New Roman Regular" w:eastAsia="宋体" w:cs="Times New Roman Regular"/>
                <w:spacing w:val="5"/>
                <w:sz w:val="21"/>
                <w:szCs w:val="21"/>
              </w:rPr>
              <w:t>-</w:t>
            </w:r>
            <w:r>
              <w:rPr>
                <w:rFonts w:hint="default" w:ascii="Times New Roman Regular" w:hAnsi="Times New Roman Regular" w:eastAsia="宋体" w:cs="Times New Roman Regular"/>
                <w:sz w:val="21"/>
                <w:szCs w:val="21"/>
              </w:rPr>
              <w:t>FB</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3"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8"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9"/>
                <w:sz w:val="21"/>
                <w:szCs w:val="21"/>
              </w:rPr>
              <w:t>二</w:t>
            </w:r>
            <w:r>
              <w:rPr>
                <w:rFonts w:hint="eastAsia" w:ascii="宋体" w:hAnsi="宋体" w:eastAsia="宋体" w:cs="宋体"/>
                <w:spacing w:val="8"/>
                <w:sz w:val="21"/>
                <w:szCs w:val="21"/>
              </w:rPr>
              <w:t>段低浓除渣器</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104"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2"/>
                <w:sz w:val="21"/>
                <w:szCs w:val="21"/>
              </w:rPr>
              <w:t>6</w:t>
            </w:r>
            <w:r>
              <w:rPr>
                <w:rFonts w:hint="default" w:ascii="Times New Roman Regular" w:hAnsi="Times New Roman Regular" w:eastAsia="宋体" w:cs="Times New Roman Regular"/>
                <w:spacing w:val="8"/>
                <w:sz w:val="21"/>
                <w:szCs w:val="21"/>
              </w:rPr>
              <w:t>-</w:t>
            </w:r>
            <w:r>
              <w:rPr>
                <w:rFonts w:hint="default" w:ascii="Times New Roman Regular" w:hAnsi="Times New Roman Regular" w:eastAsia="宋体" w:cs="Times New Roman Regular"/>
                <w:sz w:val="21"/>
                <w:szCs w:val="21"/>
              </w:rPr>
              <w:t>ZCF</w:t>
            </w:r>
            <w:r>
              <w:rPr>
                <w:rFonts w:hint="default" w:ascii="Times New Roman Regular" w:hAnsi="Times New Roman Regular" w:eastAsia="宋体" w:cs="Times New Roman Regular"/>
                <w:spacing w:val="8"/>
                <w:sz w:val="21"/>
                <w:szCs w:val="21"/>
              </w:rPr>
              <w:t>130</w:t>
            </w:r>
            <w:r>
              <w:rPr>
                <w:rFonts w:hint="default" w:ascii="Times New Roman Regular" w:hAnsi="Times New Roman Regular" w:eastAsia="宋体" w:cs="Times New Roman Regular"/>
                <w:sz w:val="21"/>
                <w:szCs w:val="21"/>
              </w:rPr>
              <w:t>R</w:t>
            </w:r>
            <w:r>
              <w:rPr>
                <w:rFonts w:hint="default" w:ascii="Times New Roman Regular" w:hAnsi="Times New Roman Regular" w:eastAsia="宋体" w:cs="Times New Roman Regular"/>
                <w:spacing w:val="8"/>
                <w:sz w:val="21"/>
                <w:szCs w:val="21"/>
              </w:rPr>
              <w:t>-</w:t>
            </w:r>
            <w:r>
              <w:rPr>
                <w:rFonts w:hint="default" w:ascii="Times New Roman Regular" w:hAnsi="Times New Roman Regular" w:eastAsia="宋体" w:cs="Times New Roman Regular"/>
                <w:sz w:val="21"/>
                <w:szCs w:val="21"/>
              </w:rPr>
              <w:t>FB</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4"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8"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65"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12"/>
                <w:sz w:val="21"/>
                <w:szCs w:val="21"/>
              </w:rPr>
              <w:t>三</w:t>
            </w:r>
            <w:r>
              <w:rPr>
                <w:rFonts w:hint="eastAsia" w:ascii="宋体" w:hAnsi="宋体" w:eastAsia="宋体" w:cs="宋体"/>
                <w:spacing w:val="8"/>
                <w:sz w:val="21"/>
                <w:szCs w:val="21"/>
              </w:rPr>
              <w:t>段低浓除渣器</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6"/>
                <w:sz w:val="21"/>
                <w:szCs w:val="21"/>
              </w:rPr>
              <w:t>1-</w:t>
            </w:r>
            <w:r>
              <w:rPr>
                <w:rFonts w:hint="default" w:ascii="Times New Roman Regular" w:hAnsi="Times New Roman Regular" w:eastAsia="宋体" w:cs="Times New Roman Regular"/>
                <w:sz w:val="21"/>
                <w:szCs w:val="21"/>
              </w:rPr>
              <w:t>ZCF</w:t>
            </w:r>
            <w:r>
              <w:rPr>
                <w:rFonts w:hint="default" w:ascii="Times New Roman Regular" w:hAnsi="Times New Roman Regular" w:eastAsia="宋体" w:cs="Times New Roman Regular"/>
                <w:spacing w:val="6"/>
                <w:sz w:val="21"/>
                <w:szCs w:val="21"/>
              </w:rPr>
              <w:t>130</w:t>
            </w:r>
            <w:r>
              <w:rPr>
                <w:rFonts w:hint="default" w:ascii="Times New Roman Regular" w:hAnsi="Times New Roman Regular" w:eastAsia="宋体" w:cs="Times New Roman Regular"/>
                <w:sz w:val="21"/>
                <w:szCs w:val="21"/>
              </w:rPr>
              <w:t>R</w:t>
            </w:r>
            <w:r>
              <w:rPr>
                <w:rFonts w:hint="default" w:ascii="Times New Roman Regular" w:hAnsi="Times New Roman Regular" w:eastAsia="宋体" w:cs="Times New Roman Regular"/>
                <w:spacing w:val="6"/>
                <w:sz w:val="21"/>
                <w:szCs w:val="21"/>
              </w:rPr>
              <w:t>-</w:t>
            </w:r>
            <w:r>
              <w:rPr>
                <w:rFonts w:hint="default" w:ascii="Times New Roman Regular" w:hAnsi="Times New Roman Regular" w:eastAsia="宋体" w:cs="Times New Roman Regular"/>
                <w:sz w:val="21"/>
                <w:szCs w:val="21"/>
              </w:rPr>
              <w:t>FB</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6"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80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0</w:t>
            </w:r>
          </w:p>
        </w:tc>
        <w:tc>
          <w:tcPr>
            <w:tcW w:w="1934" w:type="dxa"/>
            <w:noWrap w:val="0"/>
            <w:vAlign w:val="top"/>
          </w:tcPr>
          <w:p>
            <w:pPr>
              <w:keepNext w:val="0"/>
              <w:keepLines w:val="0"/>
              <w:pageBreakBefore w:val="0"/>
              <w:widowControl w:val="0"/>
              <w:kinsoku/>
              <w:wordWrap/>
              <w:overflowPunct/>
              <w:topLinePunct w:val="0"/>
              <w:autoSpaceDE/>
              <w:autoSpaceDN/>
              <w:bidi w:val="0"/>
              <w:adjustRightInd/>
              <w:snapToGrid/>
              <w:spacing w:before="71"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压缩空气</w:t>
            </w:r>
            <w:r>
              <w:rPr>
                <w:rFonts w:hint="eastAsia" w:ascii="宋体" w:hAnsi="宋体" w:eastAsia="宋体" w:cs="宋体"/>
                <w:spacing w:val="7"/>
                <w:sz w:val="21"/>
                <w:szCs w:val="21"/>
              </w:rPr>
              <w:t>罐</w:t>
            </w:r>
          </w:p>
        </w:tc>
        <w:tc>
          <w:tcPr>
            <w:tcW w:w="3583" w:type="dxa"/>
            <w:noWrap w:val="0"/>
            <w:vAlign w:val="top"/>
          </w:tcPr>
          <w:p>
            <w:pPr>
              <w:keepNext w:val="0"/>
              <w:keepLines w:val="0"/>
              <w:pageBreakBefore w:val="0"/>
              <w:widowControl w:val="0"/>
              <w:kinsoku/>
              <w:wordWrap/>
              <w:overflowPunct/>
              <w:topLinePunct w:val="0"/>
              <w:autoSpaceDE/>
              <w:autoSpaceDN/>
              <w:bidi w:val="0"/>
              <w:adjustRightInd/>
              <w:snapToGrid/>
              <w:spacing w:before="29" w:line="240" w:lineRule="auto"/>
              <w:ind w:left="0" w:leftChars="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4"/>
                <w:position w:val="1"/>
                <w:sz w:val="21"/>
                <w:szCs w:val="21"/>
              </w:rPr>
              <w:t>V=1m</w:t>
            </w:r>
            <w:r>
              <w:rPr>
                <w:rFonts w:hint="default" w:ascii="Times New Roman Regular" w:hAnsi="Times New Roman Regular" w:eastAsia="宋体" w:cs="Times New Roman Regular"/>
                <w:spacing w:val="-4"/>
                <w:position w:val="7"/>
                <w:sz w:val="21"/>
                <w:szCs w:val="21"/>
              </w:rPr>
              <w:t>3</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102"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95" w:type="dxa"/>
            <w:noWrap w:val="0"/>
            <w:vAlign w:val="top"/>
          </w:tcPr>
          <w:p>
            <w:pPr>
              <w:keepNext w:val="0"/>
              <w:keepLines w:val="0"/>
              <w:pageBreakBefore w:val="0"/>
              <w:widowControl w:val="0"/>
              <w:kinsoku/>
              <w:wordWrap/>
              <w:overflowPunct/>
              <w:topLinePunct w:val="0"/>
              <w:autoSpaceDE/>
              <w:autoSpaceDN/>
              <w:bidi w:val="0"/>
              <w:adjustRightInd/>
              <w:snapToGrid/>
              <w:spacing w:before="67"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797"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bl>
    <w:p>
      <w:pPr>
        <w:pStyle w:val="3"/>
        <w:rPr>
          <w:rFonts w:cs="Times New Roman"/>
        </w:rPr>
      </w:pPr>
      <w:bookmarkStart w:id="11" w:name="_Toc6006"/>
      <w:r>
        <w:rPr>
          <w:rFonts w:cs="Times New Roman"/>
        </w:rPr>
        <w:t>3.3主要原辅材料及燃料</w:t>
      </w:r>
      <w:bookmarkEnd w:id="11"/>
    </w:p>
    <w:p>
      <w:pPr>
        <w:bidi w:val="0"/>
        <w:rPr>
          <w:rFonts w:hint="eastAsia"/>
        </w:rPr>
      </w:pPr>
      <w:r>
        <w:rPr>
          <w:rFonts w:hint="eastAsia"/>
        </w:rPr>
        <w:t>本项目原辅材料在周边市场采购</w:t>
      </w:r>
      <w:r>
        <w:rPr>
          <w:rFonts w:hint="eastAsia"/>
          <w:lang w:eastAsia="zh-CN"/>
        </w:rPr>
        <w:t>，</w:t>
      </w:r>
      <w:r>
        <w:rPr>
          <w:rFonts w:hint="eastAsia"/>
        </w:rPr>
        <w:t>本项目严格控制原料进厂把关程序，严禁有毒有害废塑料包装进厂。本项目主要原辅材料用量及公用工程产生的能耗详见表3.3-1。</w:t>
      </w:r>
    </w:p>
    <w:p>
      <w:pPr>
        <w:bidi w:val="0"/>
        <w:rPr>
          <w:rFonts w:hint="eastAsia"/>
        </w:rPr>
      </w:pPr>
      <w:r>
        <w:rPr>
          <w:rFonts w:hint="eastAsia"/>
        </w:rPr>
        <w:t>根据项目产品情况及生产工艺流程，各类原辅材料消耗情况详见</w:t>
      </w:r>
      <w:r>
        <w:rPr>
          <w:rFonts w:hint="default"/>
        </w:rPr>
        <w:t>3.3</w:t>
      </w:r>
      <w:r>
        <w:rPr>
          <w:rFonts w:hint="eastAsia"/>
        </w:rPr>
        <w:t>-1。</w:t>
      </w:r>
    </w:p>
    <w:p>
      <w:pPr>
        <w:spacing w:line="230" w:lineRule="auto"/>
        <w:jc w:val="center"/>
        <w:rPr>
          <w:rFonts w:hint="eastAsia" w:ascii="宋体" w:hAnsi="宋体" w:eastAsia="宋体" w:cs="宋体"/>
          <w:b/>
          <w:bCs/>
          <w:sz w:val="21"/>
          <w:szCs w:val="21"/>
        </w:rPr>
      </w:pPr>
      <w:r>
        <w:rPr>
          <w:rFonts w:hint="eastAsia" w:ascii="宋体" w:hAnsi="宋体" w:eastAsia="宋体" w:cs="宋体"/>
          <w:b/>
          <w:bCs/>
          <w:spacing w:val="-1"/>
          <w:sz w:val="21"/>
          <w:szCs w:val="21"/>
        </w:rPr>
        <w:t>表</w:t>
      </w:r>
      <w:r>
        <w:rPr>
          <w:rFonts w:hint="eastAsia" w:ascii="宋体" w:hAnsi="宋体" w:eastAsia="宋体" w:cs="宋体"/>
          <w:b/>
          <w:bCs/>
          <w:sz w:val="21"/>
          <w:szCs w:val="21"/>
        </w:rPr>
        <w:t>3.3-1主要辅助材料用量表</w:t>
      </w:r>
    </w:p>
    <w:p>
      <w:pPr>
        <w:spacing w:line="67" w:lineRule="exact"/>
      </w:pPr>
    </w:p>
    <w:tbl>
      <w:tblPr>
        <w:tblStyle w:val="62"/>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1663"/>
        <w:gridCol w:w="1639"/>
        <w:gridCol w:w="643"/>
        <w:gridCol w:w="990"/>
        <w:gridCol w:w="20"/>
        <w:gridCol w:w="859"/>
        <w:gridCol w:w="2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原辅料名称</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消耗定额</w:t>
            </w:r>
            <w:r>
              <w:rPr>
                <w:rFonts w:hint="eastAsia" w:ascii="宋体" w:hAnsi="宋体" w:cs="宋体"/>
                <w:sz w:val="21"/>
                <w:szCs w:val="21"/>
                <w:lang w:eastAsia="zh-CN"/>
              </w:rPr>
              <w:t>（</w:t>
            </w:r>
            <w:r>
              <w:rPr>
                <w:rFonts w:hint="eastAsia" w:ascii="宋体" w:hAnsi="宋体" w:eastAsia="宋体" w:cs="宋体"/>
                <w:sz w:val="21"/>
                <w:szCs w:val="21"/>
              </w:rPr>
              <w:t>吨纸</w:t>
            </w:r>
            <w:r>
              <w:rPr>
                <w:rFonts w:hint="eastAsia" w:ascii="宋体" w:hAnsi="宋体" w:cs="宋体"/>
                <w:sz w:val="21"/>
                <w:szCs w:val="21"/>
                <w:lang w:eastAsia="zh-CN"/>
              </w:rPr>
              <w:t>）</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单位</w:t>
            </w:r>
          </w:p>
        </w:tc>
        <w:tc>
          <w:tcPr>
            <w:tcW w:w="101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数量</w:t>
            </w:r>
          </w:p>
        </w:tc>
        <w:tc>
          <w:tcPr>
            <w:tcW w:w="85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来源</w:t>
            </w:r>
          </w:p>
        </w:tc>
        <w:tc>
          <w:tcPr>
            <w:tcW w:w="2018"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jc w:val="center"/>
        </w:trPr>
        <w:tc>
          <w:tcPr>
            <w:tcW w:w="694" w:type="dxa"/>
            <w:vMerge w:val="restart"/>
            <w:tcBorders>
              <w:left w:val="nil"/>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663" w:type="dxa"/>
            <w:vMerge w:val="restart"/>
            <w:tcBorders>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本色苇浆</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Regular" w:hAnsi="Times New Roman Regular" w:eastAsia="宋体" w:cs="Times New Roman Regular"/>
                <w:sz w:val="21"/>
                <w:szCs w:val="21"/>
                <w:lang w:eastAsia="zh-CN"/>
              </w:rPr>
            </w:pPr>
            <w:r>
              <w:rPr>
                <w:rFonts w:hint="default" w:ascii="Times New Roman Regular" w:hAnsi="Times New Roman Regular" w:eastAsia="宋体" w:cs="Times New Roman Regular"/>
                <w:sz w:val="21"/>
                <w:szCs w:val="21"/>
              </w:rPr>
              <w:t>0.948t</w:t>
            </w:r>
            <w:r>
              <w:rPr>
                <w:rFonts w:hint="eastAsia" w:ascii="Times New Roman Regular" w:hAnsi="Times New Roman Regular" w:cs="Times New Roman Regular"/>
                <w:sz w:val="21"/>
                <w:szCs w:val="21"/>
                <w:lang w:eastAsia="zh-CN"/>
              </w:rPr>
              <w:t>（</w:t>
            </w:r>
            <w:r>
              <w:rPr>
                <w:rFonts w:hint="default" w:ascii="Times New Roman Regular" w:hAnsi="Times New Roman Regular" w:eastAsia="宋体" w:cs="Times New Roman Regular"/>
                <w:sz w:val="21"/>
                <w:szCs w:val="21"/>
              </w:rPr>
              <w:t>绝干</w:t>
            </w:r>
            <w:r>
              <w:rPr>
                <w:rFonts w:hint="eastAsia" w:ascii="Times New Roman Regular" w:hAnsi="Times New Roman Regular" w:cs="Times New Roman Regular"/>
                <w:sz w:val="21"/>
                <w:szCs w:val="21"/>
                <w:lang w:eastAsia="zh-CN"/>
              </w:rPr>
              <w:t>）</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7819.9</w:t>
            </w:r>
          </w:p>
        </w:tc>
        <w:tc>
          <w:tcPr>
            <w:tcW w:w="879" w:type="dxa"/>
            <w:gridSpan w:val="2"/>
            <w:vMerge w:val="restart"/>
            <w:tcBorders>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来自制浆车间</w:t>
            </w:r>
          </w:p>
        </w:tc>
        <w:tc>
          <w:tcPr>
            <w:tcW w:w="2018"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1#造纸车间100%苇浆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jc w:val="center"/>
        </w:trPr>
        <w:tc>
          <w:tcPr>
            <w:tcW w:w="694" w:type="dxa"/>
            <w:vMerge w:val="continue"/>
            <w:tcBorders>
              <w:top w:val="nil"/>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663" w:type="dxa"/>
            <w:vMerge w:val="continue"/>
            <w:tcBorders>
              <w:top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Regular" w:hAnsi="Times New Roman Regular" w:eastAsia="宋体" w:cs="Times New Roman Regular"/>
                <w:sz w:val="21"/>
                <w:szCs w:val="21"/>
                <w:lang w:eastAsia="zh-CN"/>
              </w:rPr>
            </w:pPr>
            <w:r>
              <w:rPr>
                <w:rFonts w:hint="default" w:ascii="Times New Roman Regular" w:hAnsi="Times New Roman Regular" w:eastAsia="宋体" w:cs="Times New Roman Regular"/>
                <w:sz w:val="21"/>
                <w:szCs w:val="21"/>
              </w:rPr>
              <w:t>0.702t</w:t>
            </w:r>
            <w:r>
              <w:rPr>
                <w:rFonts w:hint="eastAsia" w:ascii="Times New Roman Regular" w:hAnsi="Times New Roman Regular" w:cs="Times New Roman Regular"/>
                <w:sz w:val="21"/>
                <w:szCs w:val="21"/>
                <w:lang w:eastAsia="zh-CN"/>
              </w:rPr>
              <w:t>（</w:t>
            </w:r>
            <w:r>
              <w:rPr>
                <w:rFonts w:hint="default" w:ascii="Times New Roman Regular" w:hAnsi="Times New Roman Regular" w:eastAsia="宋体" w:cs="Times New Roman Regular"/>
                <w:sz w:val="21"/>
                <w:szCs w:val="21"/>
              </w:rPr>
              <w:t>绝干</w:t>
            </w:r>
            <w:r>
              <w:rPr>
                <w:rFonts w:hint="eastAsia" w:ascii="Times New Roman Regular" w:hAnsi="Times New Roman Regular" w:cs="Times New Roman Regular"/>
                <w:sz w:val="21"/>
                <w:szCs w:val="21"/>
                <w:lang w:eastAsia="zh-CN"/>
              </w:rPr>
              <w:t>）</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23161.4</w:t>
            </w:r>
          </w:p>
        </w:tc>
        <w:tc>
          <w:tcPr>
            <w:tcW w:w="879" w:type="dxa"/>
            <w:gridSpan w:val="2"/>
            <w:vMerge w:val="continue"/>
            <w:tcBorders>
              <w:top w:val="nil"/>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2#造纸车间90%苇浆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木浆</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Regular" w:hAnsi="Times New Roman Regular" w:eastAsia="宋体" w:cs="Times New Roman Regular"/>
                <w:sz w:val="21"/>
                <w:szCs w:val="21"/>
                <w:lang w:eastAsia="zh-CN"/>
              </w:rPr>
            </w:pPr>
            <w:r>
              <w:rPr>
                <w:rFonts w:hint="default" w:ascii="Times New Roman Regular" w:hAnsi="Times New Roman Regular" w:eastAsia="宋体" w:cs="Times New Roman Regular"/>
                <w:sz w:val="21"/>
                <w:szCs w:val="21"/>
              </w:rPr>
              <w:t>0.102t</w:t>
            </w:r>
            <w:r>
              <w:rPr>
                <w:rFonts w:hint="eastAsia" w:ascii="Times New Roman Regular" w:hAnsi="Times New Roman Regular" w:cs="Times New Roman Regular"/>
                <w:sz w:val="21"/>
                <w:szCs w:val="21"/>
                <w:lang w:eastAsia="zh-CN"/>
              </w:rPr>
              <w:t>（</w:t>
            </w:r>
            <w:r>
              <w:rPr>
                <w:rFonts w:hint="default" w:ascii="Times New Roman Regular" w:hAnsi="Times New Roman Regular" w:eastAsia="宋体" w:cs="Times New Roman Regular"/>
                <w:sz w:val="21"/>
                <w:szCs w:val="21"/>
              </w:rPr>
              <w:t>绝干</w:t>
            </w:r>
            <w:r>
              <w:rPr>
                <w:rFonts w:hint="eastAsia" w:ascii="Times New Roman Regular" w:hAnsi="Times New Roman Regular" w:cs="Times New Roman Regular"/>
                <w:sz w:val="21"/>
                <w:szCs w:val="21"/>
                <w:lang w:eastAsia="zh-CN"/>
              </w:rPr>
              <w:t>）</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3358.7</w:t>
            </w:r>
          </w:p>
        </w:tc>
        <w:tc>
          <w:tcPr>
            <w:tcW w:w="879" w:type="dxa"/>
            <w:gridSpan w:val="2"/>
            <w:tcBorders>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外购</w:t>
            </w:r>
          </w:p>
        </w:tc>
        <w:tc>
          <w:tcPr>
            <w:tcW w:w="2018"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2#造纸车间10%木浆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消泡剂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0.5kg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20.625</w:t>
            </w:r>
          </w:p>
        </w:tc>
        <w:tc>
          <w:tcPr>
            <w:tcW w:w="879" w:type="dxa"/>
            <w:gridSpan w:val="2"/>
            <w:vMerge w:val="restart"/>
            <w:tcBorders>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市场采购</w:t>
            </w:r>
          </w:p>
        </w:tc>
        <w:tc>
          <w:tcPr>
            <w:tcW w:w="2018" w:type="dxa"/>
            <w:vMerge w:val="restart"/>
            <w:tcBorders>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生物灭菌剂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0.5kg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20.625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湿强剂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82.5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涂缸剂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0.9kg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37.125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剥离剂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0.5kg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20.625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改良剂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0.5kg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20.625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柔软剂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0.5kg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20.625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毛布及网清洗剂</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0.2kg</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8.25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11</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聚酯网</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0.15m</w:t>
            </w:r>
            <w:r>
              <w:rPr>
                <w:rFonts w:hint="default" w:ascii="Times New Roman Regular" w:hAnsi="Times New Roman Regular" w:eastAsia="宋体" w:cs="Times New Roman Regular"/>
                <w:b w:val="0"/>
                <w:bCs w:val="0"/>
                <w:sz w:val="21"/>
                <w:szCs w:val="21"/>
                <w:lang w:val="en-US" w:eastAsia="zh-Hans"/>
              </w:rPr>
              <w:t>²</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b w:val="0"/>
                <w:bCs w:val="0"/>
                <w:sz w:val="21"/>
                <w:szCs w:val="21"/>
                <w:lang w:val="en-US" w:eastAsia="zh-Hans"/>
              </w:rPr>
              <w:t>²</w:t>
            </w: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6187.5</w:t>
            </w:r>
          </w:p>
        </w:tc>
        <w:tc>
          <w:tcPr>
            <w:tcW w:w="879" w:type="dxa"/>
            <w:gridSpan w:val="2"/>
            <w:vMerge w:val="continue"/>
            <w:tcBorders>
              <w:top w:val="nil"/>
              <w:left w:val="single" w:color="000000" w:sz="4" w:space="0"/>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94"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16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毛布</w:t>
            </w:r>
          </w:p>
        </w:tc>
        <w:tc>
          <w:tcPr>
            <w:tcW w:w="163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0.1</w:t>
            </w:r>
          </w:p>
        </w:tc>
        <w:tc>
          <w:tcPr>
            <w:tcW w:w="6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a</w:t>
            </w:r>
          </w:p>
        </w:tc>
        <w:tc>
          <w:tcPr>
            <w:tcW w:w="990" w:type="dxa"/>
            <w:tcBorders>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4.125</w:t>
            </w:r>
          </w:p>
        </w:tc>
        <w:tc>
          <w:tcPr>
            <w:tcW w:w="879" w:type="dxa"/>
            <w:gridSpan w:val="2"/>
            <w:vMerge w:val="continue"/>
            <w:tcBorders>
              <w:top w:val="nil"/>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18" w:type="dxa"/>
            <w:vMerge w:val="continue"/>
            <w:tcBorders>
              <w:top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r>
    </w:tbl>
    <w:p>
      <w:pPr>
        <w:spacing w:line="278" w:lineRule="auto"/>
        <w:jc w:val="center"/>
        <w:rPr>
          <w:rFonts w:hint="eastAsia" w:ascii="宋体" w:hAnsi="宋体" w:eastAsia="宋体" w:cs="宋体"/>
          <w:b/>
          <w:bCs/>
          <w:sz w:val="21"/>
          <w:szCs w:val="21"/>
        </w:rPr>
      </w:pPr>
    </w:p>
    <w:p>
      <w:pPr>
        <w:spacing w:line="278" w:lineRule="auto"/>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default" w:ascii="宋体" w:hAnsi="宋体" w:eastAsia="宋体" w:cs="宋体"/>
          <w:b/>
          <w:bCs/>
          <w:sz w:val="21"/>
          <w:szCs w:val="21"/>
        </w:rPr>
        <w:t>3.3</w:t>
      </w:r>
      <w:r>
        <w:rPr>
          <w:rFonts w:hint="eastAsia" w:ascii="宋体" w:hAnsi="宋体" w:eastAsia="宋体" w:cs="宋体"/>
          <w:b/>
          <w:bCs/>
          <w:sz w:val="21"/>
          <w:szCs w:val="21"/>
        </w:rPr>
        <w:t>-2主要原辅材料特性</w:t>
      </w:r>
    </w:p>
    <w:tbl>
      <w:tblPr>
        <w:tblStyle w:val="62"/>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661"/>
        <w:gridCol w:w="1031"/>
        <w:gridCol w:w="3478"/>
        <w:gridCol w:w="25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原辅料名称</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最大</w:t>
            </w:r>
            <w:r>
              <w:rPr>
                <w:rFonts w:hint="eastAsia" w:ascii="宋体" w:hAnsi="宋体" w:eastAsia="宋体" w:cs="宋体"/>
                <w:sz w:val="21"/>
                <w:szCs w:val="21"/>
                <w:lang w:val="en-US" w:eastAsia="zh-Hans"/>
              </w:rPr>
              <w:t>存</w:t>
            </w:r>
            <w:r>
              <w:rPr>
                <w:rFonts w:hint="eastAsia" w:ascii="宋体" w:hAnsi="宋体" w:eastAsia="宋体" w:cs="宋体"/>
                <w:sz w:val="21"/>
                <w:szCs w:val="21"/>
              </w:rPr>
              <w:t>储</w:t>
            </w:r>
            <w:r>
              <w:rPr>
                <w:rFonts w:hint="eastAsia" w:ascii="宋体" w:hAnsi="宋体" w:eastAsia="宋体" w:cs="宋体"/>
                <w:sz w:val="21"/>
                <w:szCs w:val="21"/>
                <w:lang w:val="en-US" w:eastAsia="zh-Hans"/>
              </w:rPr>
              <w:t>量</w:t>
            </w:r>
            <w:r>
              <w:rPr>
                <w:rFonts w:hint="eastAsia" w:ascii="宋体" w:hAnsi="宋体" w:cs="宋体"/>
                <w:sz w:val="21"/>
                <w:szCs w:val="21"/>
                <w:lang w:eastAsia="zh-CN"/>
              </w:rPr>
              <w:t>（</w:t>
            </w:r>
            <w:r>
              <w:rPr>
                <w:rFonts w:hint="eastAsia" w:ascii="宋体" w:hAnsi="宋体" w:eastAsia="宋体" w:cs="宋体"/>
                <w:sz w:val="21"/>
                <w:szCs w:val="21"/>
              </w:rPr>
              <w:t>30d</w:t>
            </w:r>
            <w:r>
              <w:rPr>
                <w:rFonts w:hint="eastAsia" w:ascii="宋体" w:hAnsi="宋体" w:cs="宋体"/>
                <w:sz w:val="21"/>
                <w:szCs w:val="21"/>
                <w:lang w:eastAsia="zh-CN"/>
              </w:rPr>
              <w: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组分</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理化性质</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用途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消泡剂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1.875t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聚醚类非离子表面活性剂</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褐色或黄褐色液体；pH：</w:t>
            </w:r>
            <w:r>
              <w:rPr>
                <w:rFonts w:hint="default" w:ascii="Times New Roman Regular" w:hAnsi="Times New Roman Regular" w:eastAsia="宋体" w:cs="Times New Roman Regular"/>
                <w:sz w:val="21"/>
                <w:szCs w:val="21"/>
              </w:rPr>
              <w:t>3.5~7.0</w:t>
            </w:r>
            <w:r>
              <w:rPr>
                <w:rFonts w:hint="eastAsia" w:ascii="宋体" w:hAnsi="宋体" w:eastAsia="宋体" w:cs="宋体"/>
                <w:sz w:val="21"/>
                <w:szCs w:val="21"/>
              </w:rPr>
              <w:t>；闪点：</w:t>
            </w:r>
            <w:r>
              <w:rPr>
                <w:rFonts w:hint="default" w:ascii="Times New Roman Regular" w:hAnsi="Times New Roman Regular" w:eastAsia="宋体" w:cs="Times New Roman Regular"/>
                <w:sz w:val="21"/>
                <w:szCs w:val="21"/>
              </w:rPr>
              <w:t>&gt;100℃</w:t>
            </w:r>
            <w:r>
              <w:rPr>
                <w:rFonts w:hint="eastAsia" w:ascii="宋体" w:hAnsi="宋体" w:eastAsia="宋体" w:cs="宋体"/>
                <w:sz w:val="21"/>
                <w:szCs w:val="21"/>
              </w:rPr>
              <w:t>；熔点</w:t>
            </w:r>
            <w:r>
              <w:rPr>
                <w:rFonts w:hint="eastAsia" w:ascii="宋体" w:hAnsi="宋体" w:cs="宋体"/>
                <w:sz w:val="21"/>
                <w:szCs w:val="21"/>
                <w:lang w:eastAsia="zh-CN"/>
              </w:rPr>
              <w:t>（</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宋体" w:hAnsi="宋体" w:eastAsia="宋体" w:cs="宋体"/>
                <w:sz w:val="21"/>
                <w:szCs w:val="21"/>
              </w:rPr>
              <w:t>：</w:t>
            </w:r>
            <w:r>
              <w:rPr>
                <w:rFonts w:hint="default" w:ascii="Times New Roman Regular" w:hAnsi="Times New Roman Regular" w:eastAsia="宋体" w:cs="Times New Roman Regular"/>
                <w:sz w:val="21"/>
                <w:szCs w:val="21"/>
              </w:rPr>
              <w:t>0℃</w:t>
            </w:r>
            <w:r>
              <w:rPr>
                <w:rFonts w:hint="eastAsia" w:ascii="宋体" w:hAnsi="宋体" w:eastAsia="宋体" w:cs="宋体"/>
                <w:sz w:val="21"/>
                <w:szCs w:val="21"/>
              </w:rPr>
              <w:t>左右；可混溶于醇、氯仿、醚、油类，与水乳化成乳白色液体，长时间会析出。</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在抄纸过程中消除纸料表面泡沫。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生物灭菌剂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1.875t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季磷盐类杀菌剂THPS</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无色透明液体，混溶于水，难溶于丙酮和乙醇，水溶液酸性</w:t>
            </w:r>
            <w:r>
              <w:rPr>
                <w:rFonts w:hint="eastAsia" w:ascii="宋体" w:hAnsi="宋体" w:cs="宋体"/>
                <w:sz w:val="21"/>
                <w:szCs w:val="21"/>
                <w:lang w:eastAsia="zh-CN"/>
              </w:rPr>
              <w:t>（</w:t>
            </w:r>
            <w:r>
              <w:rPr>
                <w:rFonts w:hint="eastAsia" w:ascii="宋体" w:hAnsi="宋体" w:eastAsia="宋体" w:cs="宋体"/>
                <w:sz w:val="21"/>
                <w:szCs w:val="21"/>
              </w:rPr>
              <w:t>pH：</w:t>
            </w:r>
            <w:r>
              <w:rPr>
                <w:rFonts w:hint="default" w:ascii="Times New Roman Regular" w:hAnsi="Times New Roman Regular" w:eastAsia="宋体" w:cs="Times New Roman Regular"/>
                <w:sz w:val="21"/>
                <w:szCs w:val="21"/>
              </w:rPr>
              <w:t>3.2</w:t>
            </w:r>
            <w:r>
              <w:rPr>
                <w:rFonts w:hint="eastAsia" w:ascii="宋体" w:hAnsi="宋体" w:cs="宋体"/>
                <w:sz w:val="21"/>
                <w:szCs w:val="21"/>
                <w:lang w:eastAsia="zh-CN"/>
              </w:rPr>
              <w:t>）</w:t>
            </w:r>
            <w:r>
              <w:rPr>
                <w:rFonts w:hint="eastAsia" w:ascii="宋体" w:hAnsi="宋体" w:eastAsia="宋体" w:cs="宋体"/>
                <w:sz w:val="21"/>
                <w:szCs w:val="21"/>
              </w:rPr>
              <w:t>。</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环境友好杀菌剂，广谱高效快速，杀菌无残留、无生物累积，能水解、氧化、光降解、生物降解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湿强剂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PPE树脂</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琥珀色透明液体，是一种水溶性、阳离子、热固性树脂，pH：</w:t>
            </w:r>
            <w:r>
              <w:rPr>
                <w:rFonts w:hint="default" w:ascii="Times New Roman Regular" w:hAnsi="Times New Roman Regular" w:eastAsia="宋体" w:cs="Times New Roman Regular"/>
                <w:sz w:val="21"/>
                <w:szCs w:val="21"/>
              </w:rPr>
              <w:t>3~4</w:t>
            </w:r>
            <w:r>
              <w:rPr>
                <w:rFonts w:hint="eastAsia" w:ascii="宋体" w:hAnsi="宋体" w:eastAsia="宋体" w:cs="宋体"/>
                <w:sz w:val="21"/>
                <w:szCs w:val="21"/>
              </w:rPr>
              <w:t>，不含甲醛类聚合物，无毒无味，不易燃、不</w:t>
            </w:r>
            <w:r>
              <w:rPr>
                <w:rFonts w:hint="eastAsia" w:ascii="宋体" w:hAnsi="宋体" w:eastAsia="宋体" w:cs="宋体"/>
                <w:sz w:val="21"/>
                <w:szCs w:val="21"/>
                <w:lang w:val="en-US" w:eastAsia="zh-Hans"/>
              </w:rPr>
              <w:t>易</w:t>
            </w:r>
            <w:r>
              <w:rPr>
                <w:rFonts w:hint="eastAsia" w:ascii="宋体" w:hAnsi="宋体" w:eastAsia="宋体" w:cs="宋体"/>
                <w:sz w:val="21"/>
                <w:szCs w:val="21"/>
              </w:rPr>
              <w:t>爆、无强腐蚀。</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PPE是一种常用的新一代的造纸助剂，适合于各类有湿强要求的纸张生产，因其兼有助留、助滤的特性，还可作为造纸过程的助留剂、助滤剂。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涂缸剂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3.375t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聚胺树脂</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淡黄色透明液体，易溶于水，比重</w:t>
            </w:r>
            <w:r>
              <w:rPr>
                <w:rFonts w:hint="eastAsia" w:ascii="宋体" w:hAnsi="宋体" w:cs="宋体"/>
                <w:sz w:val="21"/>
                <w:szCs w:val="21"/>
                <w:lang w:eastAsia="zh-CN"/>
              </w:rPr>
              <w:t>（</w:t>
            </w:r>
            <w:r>
              <w:rPr>
                <w:rFonts w:hint="eastAsia" w:ascii="宋体" w:hAnsi="宋体" w:eastAsia="宋体" w:cs="宋体"/>
                <w:sz w:val="21"/>
                <w:szCs w:val="21"/>
              </w:rPr>
              <w:t>20℃</w:t>
            </w:r>
            <w:r>
              <w:rPr>
                <w:rFonts w:hint="eastAsia" w:ascii="宋体" w:hAnsi="宋体" w:cs="宋体"/>
                <w:sz w:val="21"/>
                <w:szCs w:val="21"/>
                <w:lang w:eastAsia="zh-CN"/>
              </w:rPr>
              <w:t>）</w:t>
            </w:r>
            <w:r>
              <w:rPr>
                <w:rFonts w:hint="eastAsia" w:ascii="宋体" w:hAnsi="宋体" w:eastAsia="宋体" w:cs="宋体"/>
                <w:sz w:val="21"/>
                <w:szCs w:val="21"/>
                <w:lang w:eastAsia="zh-Hans"/>
              </w:rPr>
              <w:t>：</w:t>
            </w:r>
            <w:r>
              <w:rPr>
                <w:rFonts w:hint="default" w:ascii="Times New Roman Regular" w:hAnsi="Times New Roman Regular" w:eastAsia="宋体" w:cs="Times New Roman Regular"/>
                <w:sz w:val="21"/>
                <w:szCs w:val="21"/>
              </w:rPr>
              <w:t>1.05-1.08g/cm³</w:t>
            </w:r>
            <w:r>
              <w:rPr>
                <w:rFonts w:hint="eastAsia" w:ascii="宋体" w:hAnsi="宋体" w:eastAsia="宋体" w:cs="宋体"/>
                <w:sz w:val="21"/>
                <w:szCs w:val="21"/>
              </w:rPr>
              <w:t>，接近于水；固体比重：</w:t>
            </w:r>
            <w:r>
              <w:rPr>
                <w:rFonts w:hint="default" w:ascii="Times New Roman Regular" w:hAnsi="Times New Roman Regular" w:eastAsia="宋体" w:cs="Times New Roman Regular"/>
                <w:sz w:val="21"/>
                <w:szCs w:val="21"/>
              </w:rPr>
              <w:t>24.5-25.5</w:t>
            </w:r>
            <w:r>
              <w:rPr>
                <w:rFonts w:hint="eastAsia" w:ascii="宋体" w:hAnsi="宋体" w:eastAsia="宋体" w:cs="宋体"/>
                <w:sz w:val="21"/>
                <w:szCs w:val="21"/>
              </w:rPr>
              <w:t>；粘度</w:t>
            </w:r>
            <w:r>
              <w:rPr>
                <w:rFonts w:hint="eastAsia" w:ascii="宋体" w:hAnsi="宋体" w:cs="宋体"/>
                <w:sz w:val="21"/>
                <w:szCs w:val="21"/>
                <w:lang w:eastAsia="zh-CN"/>
              </w:rPr>
              <w:t>（</w:t>
            </w:r>
            <w:r>
              <w:rPr>
                <w:rFonts w:hint="default" w:ascii="Times New Roman Regular" w:hAnsi="Times New Roman Regular" w:eastAsia="宋体" w:cs="Times New Roman Regular"/>
                <w:sz w:val="21"/>
                <w:szCs w:val="21"/>
              </w:rPr>
              <w:t>25</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宋体" w:hAnsi="宋体" w:eastAsia="宋体" w:cs="宋体"/>
                <w:sz w:val="21"/>
                <w:szCs w:val="21"/>
              </w:rPr>
              <w:t>CPS：≤</w:t>
            </w:r>
            <w:r>
              <w:rPr>
                <w:rFonts w:hint="default" w:ascii="Times New Roman Regular" w:hAnsi="Times New Roman Regular" w:eastAsia="宋体" w:cs="Times New Roman Regular"/>
                <w:sz w:val="21"/>
                <w:szCs w:val="21"/>
              </w:rPr>
              <w:t>300</w:t>
            </w:r>
            <w:r>
              <w:rPr>
                <w:rFonts w:hint="eastAsia" w:ascii="宋体" w:hAnsi="宋体" w:eastAsia="宋体" w:cs="宋体"/>
                <w:sz w:val="21"/>
                <w:szCs w:val="21"/>
              </w:rPr>
              <w:t>；pH值:</w:t>
            </w:r>
            <w:r>
              <w:rPr>
                <w:rFonts w:hint="eastAsia" w:ascii="宋体" w:hAnsi="宋体" w:cs="宋体"/>
                <w:sz w:val="21"/>
                <w:szCs w:val="21"/>
                <w:lang w:eastAsia="zh-CN"/>
              </w:rPr>
              <w:t>（</w:t>
            </w:r>
            <w:r>
              <w:rPr>
                <w:rFonts w:hint="default" w:ascii="Times New Roman Regular" w:hAnsi="Times New Roman Regular" w:eastAsia="宋体" w:cs="Times New Roman Regular"/>
                <w:sz w:val="21"/>
                <w:szCs w:val="21"/>
              </w:rPr>
              <w:t>25</w:t>
            </w:r>
            <w:r>
              <w:rPr>
                <w:rFonts w:hint="eastAsia" w:ascii="宋体" w:hAnsi="宋体" w:eastAsia="宋体" w:cs="宋体"/>
                <w:sz w:val="21"/>
                <w:szCs w:val="21"/>
              </w:rPr>
              <w:t>℃，原液</w:t>
            </w:r>
            <w:r>
              <w:rPr>
                <w:rFonts w:hint="eastAsia" w:ascii="宋体" w:hAnsi="宋体" w:cs="宋体"/>
                <w:sz w:val="21"/>
                <w:szCs w:val="21"/>
                <w:lang w:eastAsia="zh-CN"/>
              </w:rPr>
              <w:t>）</w:t>
            </w:r>
            <w:r>
              <w:rPr>
                <w:rFonts w:hint="eastAsia" w:ascii="宋体" w:hAnsi="宋体" w:eastAsia="宋体" w:cs="宋体"/>
                <w:sz w:val="21"/>
                <w:szCs w:val="21"/>
              </w:rPr>
              <w:t>：</w:t>
            </w:r>
            <w:r>
              <w:rPr>
                <w:rFonts w:hint="default" w:ascii="Times New Roman Regular" w:hAnsi="Times New Roman Regular" w:eastAsia="宋体" w:cs="Times New Roman Regular"/>
                <w:sz w:val="21"/>
                <w:szCs w:val="21"/>
              </w:rPr>
              <w:t>80±1</w:t>
            </w:r>
            <w:r>
              <w:rPr>
                <w:rFonts w:hint="eastAsia" w:ascii="宋体" w:hAnsi="宋体" w:eastAsia="宋体" w:cs="宋体"/>
                <w:sz w:val="21"/>
                <w:szCs w:val="21"/>
              </w:rPr>
              <w:t>。</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喷洒在扬克缸表面，形成软硬适中均匀的涂层，保护烘缸。高速生活用纸纸机上使用，能很好地改善起皱。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剥离剂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1.875t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矿物油和脂肪酸酯的混合物</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米黄色透明液体，非离子性，可溶于水，密度：</w:t>
            </w:r>
            <w:r>
              <w:rPr>
                <w:rFonts w:hint="default" w:ascii="Times New Roman Regular" w:hAnsi="Times New Roman Regular" w:eastAsia="宋体" w:cs="Times New Roman Regular"/>
                <w:sz w:val="21"/>
                <w:szCs w:val="21"/>
              </w:rPr>
              <w:t>880</w:t>
            </w:r>
            <w:r>
              <w:rPr>
                <w:rFonts w:hint="eastAsia" w:ascii="宋体" w:hAnsi="宋体" w:eastAsia="宋体" w:cs="宋体"/>
                <w:sz w:val="21"/>
                <w:szCs w:val="21"/>
              </w:rPr>
              <w:t>kg/m³，pH：</w:t>
            </w:r>
            <w:r>
              <w:rPr>
                <w:rFonts w:hint="default" w:ascii="Times New Roman Regular" w:hAnsi="Times New Roman Regular" w:eastAsia="宋体" w:cs="Times New Roman Regular"/>
                <w:sz w:val="21"/>
                <w:szCs w:val="21"/>
              </w:rPr>
              <w:t>6~8</w:t>
            </w:r>
            <w:r>
              <w:rPr>
                <w:rFonts w:hint="eastAsia" w:ascii="宋体" w:hAnsi="宋体" w:eastAsia="宋体" w:cs="宋体"/>
                <w:sz w:val="21"/>
                <w:szCs w:val="21"/>
              </w:rPr>
              <w:t>，着火点：</w:t>
            </w:r>
            <w:r>
              <w:rPr>
                <w:rFonts w:hint="default" w:ascii="Times New Roman Regular" w:hAnsi="Times New Roman Regular" w:eastAsia="宋体" w:cs="Times New Roman Regular"/>
                <w:sz w:val="21"/>
                <w:szCs w:val="21"/>
              </w:rPr>
              <w:t>186</w:t>
            </w:r>
            <w:r>
              <w:rPr>
                <w:rFonts w:hint="eastAsia" w:ascii="宋体" w:hAnsi="宋体" w:eastAsia="宋体" w:cs="宋体"/>
                <w:sz w:val="21"/>
                <w:szCs w:val="21"/>
              </w:rPr>
              <w:t>℃</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润滑性和剥离性优异，能够最大限度地减少烘缸表面和刮刀的磨损进而提高生产效率，具有优秀的剥离性能。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改良剂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1.875t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无色透明液体，固含量</w:t>
            </w:r>
            <w:r>
              <w:rPr>
                <w:rFonts w:hint="eastAsia" w:ascii="宋体" w:hAnsi="宋体" w:cs="宋体"/>
                <w:sz w:val="21"/>
                <w:szCs w:val="21"/>
                <w:lang w:eastAsia="zh-CN"/>
              </w:rPr>
              <w:t>（</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宋体" w:hAnsi="宋体" w:eastAsia="宋体" w:cs="宋体"/>
                <w:sz w:val="21"/>
                <w:szCs w:val="21"/>
              </w:rPr>
              <w:t>：</w:t>
            </w:r>
            <w:r>
              <w:rPr>
                <w:rFonts w:hint="default" w:ascii="Times New Roman Regular" w:hAnsi="Times New Roman Regular" w:eastAsia="宋体" w:cs="Times New Roman Regular"/>
                <w:sz w:val="21"/>
                <w:szCs w:val="21"/>
              </w:rPr>
              <w:t>10±1</w:t>
            </w:r>
            <w:r>
              <w:rPr>
                <w:rFonts w:hint="eastAsia" w:ascii="宋体" w:hAnsi="宋体" w:eastAsia="宋体" w:cs="宋体"/>
                <w:sz w:val="21"/>
                <w:szCs w:val="21"/>
              </w:rPr>
              <w:t>，粘度</w:t>
            </w:r>
            <w:r>
              <w:rPr>
                <w:rFonts w:hint="eastAsia" w:ascii="宋体" w:hAnsi="宋体" w:cs="宋体"/>
                <w:sz w:val="21"/>
                <w:szCs w:val="21"/>
                <w:lang w:eastAsia="zh-CN"/>
              </w:rPr>
              <w:t>（</w:t>
            </w:r>
            <w:r>
              <w:rPr>
                <w:rFonts w:hint="default" w:ascii="Times New Roman Regular" w:hAnsi="Times New Roman Regular" w:eastAsia="宋体" w:cs="Times New Roman Regular"/>
                <w:sz w:val="21"/>
                <w:szCs w:val="21"/>
              </w:rPr>
              <w:t>25</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宋体" w:hAnsi="宋体" w:eastAsia="宋体" w:cs="宋体"/>
                <w:sz w:val="21"/>
                <w:szCs w:val="21"/>
              </w:rPr>
              <w:t>CPS：≤</w:t>
            </w:r>
            <w:r>
              <w:rPr>
                <w:rFonts w:hint="default" w:ascii="Times New Roman Regular" w:hAnsi="Times New Roman Regular" w:eastAsia="宋体" w:cs="Times New Roman Regular"/>
                <w:sz w:val="21"/>
                <w:szCs w:val="21"/>
              </w:rPr>
              <w:t>50</w:t>
            </w:r>
            <w:r>
              <w:rPr>
                <w:rFonts w:hint="eastAsia" w:ascii="宋体" w:hAnsi="宋体" w:eastAsia="宋体" w:cs="宋体"/>
                <w:sz w:val="21"/>
                <w:szCs w:val="21"/>
              </w:rPr>
              <w:t>，PH</w:t>
            </w:r>
            <w:r>
              <w:rPr>
                <w:rFonts w:hint="eastAsia" w:ascii="宋体" w:hAnsi="宋体" w:cs="宋体"/>
                <w:sz w:val="21"/>
                <w:szCs w:val="21"/>
                <w:lang w:eastAsia="zh-CN"/>
              </w:rPr>
              <w:t>（</w:t>
            </w:r>
            <w:r>
              <w:rPr>
                <w:rFonts w:hint="default" w:ascii="Times New Roman Regular" w:hAnsi="Times New Roman Regular" w:eastAsia="宋体" w:cs="Times New Roman Regular"/>
                <w:sz w:val="21"/>
                <w:szCs w:val="21"/>
              </w:rPr>
              <w:t>25</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宋体" w:hAnsi="宋体" w:eastAsia="宋体" w:cs="宋体"/>
                <w:sz w:val="21"/>
                <w:szCs w:val="21"/>
              </w:rPr>
              <w:t>原液</w:t>
            </w:r>
            <w:r>
              <w:rPr>
                <w:rFonts w:hint="eastAsia" w:ascii="宋体" w:hAnsi="宋体" w:cs="宋体"/>
                <w:sz w:val="21"/>
                <w:szCs w:val="21"/>
                <w:lang w:eastAsia="zh-CN"/>
              </w:rPr>
              <w:t>）</w:t>
            </w:r>
            <w:r>
              <w:rPr>
                <w:rFonts w:hint="eastAsia" w:ascii="宋体" w:hAnsi="宋体" w:eastAsia="宋体" w:cs="宋体"/>
                <w:sz w:val="21"/>
                <w:szCs w:val="21"/>
              </w:rPr>
              <w:t>：</w:t>
            </w:r>
            <w:r>
              <w:rPr>
                <w:rFonts w:hint="default" w:ascii="Times New Roman Regular" w:hAnsi="Times New Roman Regular" w:eastAsia="宋体" w:cs="Times New Roman Regular"/>
                <w:sz w:val="21"/>
                <w:szCs w:val="21"/>
              </w:rPr>
              <w:t>45±1</w:t>
            </w:r>
            <w:r>
              <w:rPr>
                <w:rFonts w:hint="eastAsia" w:ascii="宋体" w:hAnsi="宋体" w:eastAsia="宋体" w:cs="宋体"/>
                <w:sz w:val="21"/>
                <w:szCs w:val="21"/>
              </w:rPr>
              <w:t>，比重</w:t>
            </w:r>
            <w:r>
              <w:rPr>
                <w:rFonts w:hint="eastAsia" w:ascii="宋体" w:hAnsi="宋体" w:eastAsia="宋体" w:cs="宋体"/>
                <w:sz w:val="21"/>
                <w:szCs w:val="21"/>
                <w:lang w:eastAsia="zh-Hans"/>
              </w:rPr>
              <w:t>；</w:t>
            </w:r>
            <w:r>
              <w:rPr>
                <w:rFonts w:hint="default" w:ascii="Times New Roman Regular" w:hAnsi="Times New Roman Regular" w:eastAsia="宋体" w:cs="Times New Roman Regular"/>
                <w:sz w:val="21"/>
                <w:szCs w:val="21"/>
              </w:rPr>
              <w:t>11±01</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调整涂层的形成和纸幅与烘缸的粘结力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柔软剂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1.875t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改性脂肪胺</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乳白色液体，固含量</w:t>
            </w:r>
            <w:r>
              <w:rPr>
                <w:rFonts w:hint="default" w:ascii="Times New Roman Regular" w:hAnsi="Times New Roman Regular" w:eastAsia="宋体" w:cs="Times New Roman Regular"/>
                <w:sz w:val="21"/>
                <w:szCs w:val="21"/>
              </w:rPr>
              <w:t>9+0.5%</w:t>
            </w:r>
            <w:r>
              <w:rPr>
                <w:rFonts w:hint="eastAsia" w:ascii="宋体" w:hAnsi="宋体" w:eastAsia="宋体" w:cs="宋体"/>
                <w:sz w:val="21"/>
                <w:szCs w:val="21"/>
              </w:rPr>
              <w:t>，pH</w:t>
            </w:r>
            <w:r>
              <w:rPr>
                <w:rFonts w:hint="default" w:ascii="Times New Roman Regular" w:hAnsi="Times New Roman Regular" w:eastAsia="宋体" w:cs="Times New Roman Regular"/>
                <w:sz w:val="21"/>
                <w:szCs w:val="21"/>
              </w:rPr>
              <w:t>5.5-6.5</w:t>
            </w:r>
            <w:r>
              <w:rPr>
                <w:rFonts w:hint="eastAsia" w:ascii="宋体" w:hAnsi="宋体" w:eastAsia="宋体" w:cs="宋体"/>
                <w:sz w:val="21"/>
                <w:szCs w:val="21"/>
              </w:rPr>
              <w:t>，冷水易溶</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提高原纸柔软度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jc w:val="center"/>
        </w:trPr>
        <w:tc>
          <w:tcPr>
            <w:tcW w:w="82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毛布及网清洗剂</w:t>
            </w:r>
          </w:p>
        </w:tc>
        <w:tc>
          <w:tcPr>
            <w:tcW w:w="66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0.75t</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表面活性剂、乳化剂、助洗剂等</w:t>
            </w:r>
          </w:p>
        </w:tc>
        <w:tc>
          <w:tcPr>
            <w:tcW w:w="3478" w:type="dxa"/>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乳白色液体，pH为</w:t>
            </w:r>
            <w:r>
              <w:rPr>
                <w:rFonts w:hint="default" w:ascii="Times New Roman Regular" w:hAnsi="Times New Roman Regular" w:eastAsia="宋体" w:cs="Times New Roman Regular"/>
                <w:sz w:val="21"/>
                <w:szCs w:val="21"/>
              </w:rPr>
              <w:t>7~9</w:t>
            </w:r>
            <w:r>
              <w:rPr>
                <w:rFonts w:hint="eastAsia" w:ascii="宋体" w:hAnsi="宋体" w:eastAsia="宋体" w:cs="宋体"/>
                <w:sz w:val="21"/>
                <w:szCs w:val="21"/>
              </w:rPr>
              <w:t>，固含量</w:t>
            </w:r>
            <w:r>
              <w:rPr>
                <w:rFonts w:hint="default" w:ascii="Times New Roman Regular" w:hAnsi="Times New Roman Regular" w:eastAsia="宋体" w:cs="Times New Roman Regular"/>
                <w:sz w:val="21"/>
                <w:szCs w:val="21"/>
              </w:rPr>
              <w:t>20±1%</w:t>
            </w:r>
            <w:r>
              <w:rPr>
                <w:rFonts w:hint="eastAsia" w:ascii="宋体" w:hAnsi="宋体" w:eastAsia="宋体" w:cs="宋体"/>
                <w:sz w:val="21"/>
                <w:szCs w:val="21"/>
              </w:rPr>
              <w:t>，冷水易溶</w:t>
            </w:r>
          </w:p>
        </w:tc>
        <w:tc>
          <w:tcPr>
            <w:tcW w:w="2522"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79" w:lineRule="auto"/>
              <w:ind w:left="24" w:leftChars="10" w:right="24" w:rightChars="1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清洗网毯用</w:t>
            </w:r>
          </w:p>
        </w:tc>
      </w:tr>
    </w:tbl>
    <w:p>
      <w:pPr>
        <w:pStyle w:val="4"/>
        <w:bidi w:val="0"/>
        <w:ind w:firstLine="482" w:firstLineChars="200"/>
        <w:rPr>
          <w:rFonts w:hint="eastAsia"/>
        </w:rPr>
      </w:pPr>
      <w:bookmarkStart w:id="12" w:name="_Toc25901"/>
      <w:r>
        <w:rPr>
          <w:rFonts w:hint="eastAsia"/>
          <w:lang w:val="en-US" w:eastAsia="zh-CN"/>
        </w:rPr>
        <w:t>3.4.2</w:t>
      </w:r>
      <w:r>
        <w:rPr>
          <w:rFonts w:hint="eastAsia"/>
        </w:rPr>
        <w:t>主要能源消耗</w:t>
      </w:r>
      <w:bookmarkEnd w:id="12"/>
    </w:p>
    <w:p>
      <w:pPr>
        <w:bidi w:val="0"/>
        <w:rPr>
          <w:rFonts w:hint="eastAsia" w:ascii="宋体" w:hAnsi="宋体" w:eastAsia="宋体" w:cs="宋体"/>
          <w:spacing w:val="5"/>
          <w:sz w:val="21"/>
          <w:szCs w:val="21"/>
        </w:rPr>
      </w:pPr>
      <w:r>
        <w:rPr>
          <w:rFonts w:hint="eastAsia"/>
        </w:rPr>
        <w:t>本项目主要能源消耗见表</w:t>
      </w:r>
      <w:r>
        <w:rPr>
          <w:rFonts w:hint="eastAsia"/>
          <w:lang w:val="en-US" w:eastAsia="zh-CN"/>
        </w:rPr>
        <w:t>3</w:t>
      </w:r>
      <w:r>
        <w:rPr>
          <w:rFonts w:hint="eastAsia"/>
        </w:rPr>
        <w:t>.4-3。</w:t>
      </w:r>
    </w:p>
    <w:p>
      <w:pPr>
        <w:spacing w:before="186" w:line="229" w:lineRule="auto"/>
        <w:jc w:val="center"/>
        <w:rPr>
          <w:rFonts w:hint="eastAsia" w:ascii="宋体" w:hAnsi="宋体" w:eastAsia="宋体" w:cs="宋体"/>
          <w:sz w:val="21"/>
          <w:szCs w:val="21"/>
        </w:rPr>
      </w:pPr>
      <w:r>
        <w:rPr>
          <w:rFonts w:hint="eastAsia" w:ascii="宋体" w:hAnsi="宋体" w:eastAsia="宋体" w:cs="宋体"/>
          <w:b/>
          <w:bCs/>
          <w:spacing w:val="5"/>
          <w:sz w:val="21"/>
          <w:szCs w:val="21"/>
        </w:rPr>
        <w:t>表</w:t>
      </w:r>
      <w:r>
        <w:rPr>
          <w:rFonts w:hint="eastAsia" w:ascii="宋体" w:hAnsi="宋体" w:cs="宋体"/>
          <w:b/>
          <w:bCs/>
          <w:spacing w:val="3"/>
          <w:sz w:val="21"/>
          <w:szCs w:val="21"/>
          <w:lang w:val="en-US" w:eastAsia="zh-CN"/>
        </w:rPr>
        <w:t>3</w:t>
      </w:r>
      <w:r>
        <w:rPr>
          <w:rFonts w:hint="eastAsia" w:ascii="宋体" w:hAnsi="宋体" w:eastAsia="宋体" w:cs="宋体"/>
          <w:b/>
          <w:bCs/>
          <w:spacing w:val="3"/>
          <w:sz w:val="21"/>
          <w:szCs w:val="21"/>
        </w:rPr>
        <w:t>.4-3主要能源消耗一览表</w:t>
      </w:r>
    </w:p>
    <w:tbl>
      <w:tblPr>
        <w:tblStyle w:val="62"/>
        <w:tblW w:w="845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757"/>
        <w:gridCol w:w="1514"/>
        <w:gridCol w:w="1407"/>
        <w:gridCol w:w="1972"/>
        <w:gridCol w:w="20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790" w:type="dxa"/>
            <w:tcBorders>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5"/>
                <w:sz w:val="21"/>
                <w:szCs w:val="21"/>
              </w:rPr>
              <w:t>类</w:t>
            </w:r>
            <w:r>
              <w:rPr>
                <w:rFonts w:hint="eastAsia" w:ascii="宋体" w:hAnsi="宋体" w:eastAsia="宋体" w:cs="宋体"/>
                <w:spacing w:val="4"/>
                <w:sz w:val="21"/>
                <w:szCs w:val="21"/>
              </w:rPr>
              <w:t>别</w:t>
            </w:r>
          </w:p>
        </w:tc>
        <w:tc>
          <w:tcPr>
            <w:tcW w:w="75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5"/>
                <w:sz w:val="21"/>
                <w:szCs w:val="21"/>
              </w:rPr>
              <w:t>序号</w:t>
            </w:r>
          </w:p>
        </w:tc>
        <w:tc>
          <w:tcPr>
            <w:tcW w:w="15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原料名称</w:t>
            </w:r>
          </w:p>
        </w:tc>
        <w:tc>
          <w:tcPr>
            <w:tcW w:w="140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单</w:t>
            </w:r>
            <w:r>
              <w:rPr>
                <w:rFonts w:hint="eastAsia" w:ascii="宋体" w:hAnsi="宋体" w:eastAsia="宋体" w:cs="宋体"/>
                <w:spacing w:val="3"/>
                <w:sz w:val="21"/>
                <w:szCs w:val="21"/>
              </w:rPr>
              <w:t>位</w:t>
            </w:r>
          </w:p>
        </w:tc>
        <w:tc>
          <w:tcPr>
            <w:tcW w:w="19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消</w:t>
            </w:r>
            <w:r>
              <w:rPr>
                <w:rFonts w:hint="eastAsia" w:ascii="宋体" w:hAnsi="宋体" w:eastAsia="宋体" w:cs="宋体"/>
                <w:spacing w:val="5"/>
                <w:sz w:val="21"/>
                <w:szCs w:val="21"/>
              </w:rPr>
              <w:t>耗量</w:t>
            </w:r>
          </w:p>
        </w:tc>
        <w:tc>
          <w:tcPr>
            <w:tcW w:w="2014"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jc w:val="center"/>
        </w:trPr>
        <w:tc>
          <w:tcPr>
            <w:tcW w:w="790" w:type="dxa"/>
            <w:vMerge w:val="restart"/>
            <w:tcBorders>
              <w:left w:val="nil"/>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能</w:t>
            </w:r>
            <w:r>
              <w:rPr>
                <w:rFonts w:hint="eastAsia" w:ascii="宋体" w:hAnsi="宋体" w:eastAsia="宋体" w:cs="宋体"/>
                <w:sz w:val="21"/>
                <w:szCs w:val="21"/>
              </w:rPr>
              <w:t>源</w:t>
            </w:r>
          </w:p>
        </w:tc>
        <w:tc>
          <w:tcPr>
            <w:tcW w:w="75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5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电</w:t>
            </w:r>
          </w:p>
        </w:tc>
        <w:tc>
          <w:tcPr>
            <w:tcW w:w="140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2"/>
                <w:sz w:val="21"/>
                <w:szCs w:val="21"/>
              </w:rPr>
              <w:t>kWh</w:t>
            </w:r>
            <w:r>
              <w:rPr>
                <w:rFonts w:hint="default" w:ascii="Times New Roman Regular" w:hAnsi="Times New Roman Regular" w:eastAsia="宋体" w:cs="Times New Roman Regular"/>
                <w:spacing w:val="24"/>
                <w:position w:val="2"/>
                <w:sz w:val="21"/>
                <w:szCs w:val="21"/>
              </w:rPr>
              <w:t>/</w:t>
            </w:r>
            <w:r>
              <w:rPr>
                <w:rFonts w:hint="default" w:ascii="Times New Roman Regular" w:hAnsi="Times New Roman Regular" w:eastAsia="宋体" w:cs="Times New Roman Regular"/>
                <w:position w:val="2"/>
                <w:sz w:val="21"/>
                <w:szCs w:val="21"/>
              </w:rPr>
              <w:t>d</w:t>
            </w:r>
          </w:p>
        </w:tc>
        <w:tc>
          <w:tcPr>
            <w:tcW w:w="19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10000</w:t>
            </w:r>
            <w:r>
              <w:rPr>
                <w:rFonts w:hint="default" w:ascii="Times New Roman Regular" w:hAnsi="Times New Roman Regular" w:eastAsia="宋体" w:cs="Times New Roman Regular"/>
                <w:sz w:val="21"/>
                <w:szCs w:val="21"/>
              </w:rPr>
              <w:t>0</w:t>
            </w:r>
          </w:p>
        </w:tc>
        <w:tc>
          <w:tcPr>
            <w:tcW w:w="2014"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园区供电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0" w:type="dxa"/>
            <w:vMerge w:val="continue"/>
            <w:tcBorders>
              <w:top w:val="nil"/>
              <w:left w:val="nil"/>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p>
        </w:tc>
        <w:tc>
          <w:tcPr>
            <w:tcW w:w="757" w:type="dxa"/>
            <w:vMerge w:val="restart"/>
            <w:tcBorders>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5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7"/>
                <w:sz w:val="21"/>
                <w:szCs w:val="21"/>
              </w:rPr>
              <w:t>水</w:t>
            </w:r>
            <w:r>
              <w:rPr>
                <w:rFonts w:hint="eastAsia" w:ascii="宋体" w:hAnsi="宋体" w:cs="宋体"/>
                <w:spacing w:val="4"/>
                <w:sz w:val="21"/>
                <w:szCs w:val="21"/>
                <w:lang w:eastAsia="zh-CN"/>
              </w:rPr>
              <w:t>（</w:t>
            </w:r>
            <w:r>
              <w:rPr>
                <w:rFonts w:hint="eastAsia" w:ascii="宋体" w:hAnsi="宋体" w:eastAsia="宋体" w:cs="宋体"/>
                <w:spacing w:val="4"/>
                <w:sz w:val="21"/>
                <w:szCs w:val="21"/>
              </w:rPr>
              <w:t>生活</w:t>
            </w:r>
            <w:r>
              <w:rPr>
                <w:rFonts w:hint="eastAsia" w:ascii="宋体" w:hAnsi="宋体" w:cs="宋体"/>
                <w:spacing w:val="4"/>
                <w:sz w:val="21"/>
                <w:szCs w:val="21"/>
                <w:lang w:eastAsia="zh-CN"/>
              </w:rPr>
              <w:t>）</w:t>
            </w:r>
          </w:p>
        </w:tc>
        <w:tc>
          <w:tcPr>
            <w:tcW w:w="140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2"/>
                <w:sz w:val="21"/>
                <w:szCs w:val="21"/>
              </w:rPr>
              <w:t>t</w:t>
            </w:r>
            <w:r>
              <w:rPr>
                <w:rFonts w:hint="default" w:ascii="Times New Roman Regular" w:hAnsi="Times New Roman Regular" w:eastAsia="宋体" w:cs="Times New Roman Regular"/>
                <w:spacing w:val="6"/>
                <w:position w:val="2"/>
                <w:sz w:val="21"/>
                <w:szCs w:val="21"/>
              </w:rPr>
              <w:t>/</w:t>
            </w:r>
            <w:r>
              <w:rPr>
                <w:rFonts w:hint="default" w:ascii="Times New Roman Regular" w:hAnsi="Times New Roman Regular" w:eastAsia="宋体" w:cs="Times New Roman Regular"/>
                <w:position w:val="2"/>
                <w:sz w:val="21"/>
                <w:szCs w:val="21"/>
              </w:rPr>
              <w:t>d</w:t>
            </w:r>
          </w:p>
        </w:tc>
        <w:tc>
          <w:tcPr>
            <w:tcW w:w="19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10</w:t>
            </w:r>
            <w:r>
              <w:rPr>
                <w:rFonts w:hint="default" w:ascii="Times New Roman Regular" w:hAnsi="Times New Roman Regular" w:eastAsia="宋体" w:cs="Times New Roman Regular"/>
                <w:sz w:val="21"/>
                <w:szCs w:val="21"/>
              </w:rPr>
              <w:t>.8</w:t>
            </w:r>
          </w:p>
        </w:tc>
        <w:tc>
          <w:tcPr>
            <w:tcW w:w="2014"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园区供水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0" w:type="dxa"/>
            <w:vMerge w:val="continue"/>
            <w:tcBorders>
              <w:top w:val="nil"/>
              <w:left w:val="nil"/>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p>
        </w:tc>
        <w:tc>
          <w:tcPr>
            <w:tcW w:w="757" w:type="dxa"/>
            <w:vMerge w:val="continue"/>
            <w:tcBorders>
              <w:top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p>
        </w:tc>
        <w:tc>
          <w:tcPr>
            <w:tcW w:w="15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7"/>
                <w:sz w:val="21"/>
                <w:szCs w:val="21"/>
              </w:rPr>
              <w:t>水</w:t>
            </w:r>
            <w:r>
              <w:rPr>
                <w:rFonts w:hint="eastAsia" w:ascii="宋体" w:hAnsi="宋体" w:cs="宋体"/>
                <w:spacing w:val="4"/>
                <w:sz w:val="21"/>
                <w:szCs w:val="21"/>
                <w:lang w:eastAsia="zh-CN"/>
              </w:rPr>
              <w:t>（</w:t>
            </w:r>
            <w:r>
              <w:rPr>
                <w:rFonts w:hint="eastAsia" w:ascii="宋体" w:hAnsi="宋体" w:eastAsia="宋体" w:cs="宋体"/>
                <w:spacing w:val="4"/>
                <w:sz w:val="21"/>
                <w:szCs w:val="21"/>
              </w:rPr>
              <w:t>生产</w:t>
            </w:r>
            <w:r>
              <w:rPr>
                <w:rFonts w:hint="eastAsia" w:ascii="宋体" w:hAnsi="宋体" w:cs="宋体"/>
                <w:spacing w:val="4"/>
                <w:sz w:val="21"/>
                <w:szCs w:val="21"/>
                <w:lang w:eastAsia="zh-CN"/>
              </w:rPr>
              <w:t>）</w:t>
            </w:r>
          </w:p>
        </w:tc>
        <w:tc>
          <w:tcPr>
            <w:tcW w:w="140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2"/>
                <w:sz w:val="21"/>
                <w:szCs w:val="21"/>
              </w:rPr>
              <w:t>t</w:t>
            </w:r>
            <w:r>
              <w:rPr>
                <w:rFonts w:hint="default" w:ascii="Times New Roman Regular" w:hAnsi="Times New Roman Regular" w:eastAsia="宋体" w:cs="Times New Roman Regular"/>
                <w:spacing w:val="6"/>
                <w:position w:val="2"/>
                <w:sz w:val="21"/>
                <w:szCs w:val="21"/>
              </w:rPr>
              <w:t>/</w:t>
            </w:r>
            <w:r>
              <w:rPr>
                <w:rFonts w:hint="default" w:ascii="Times New Roman Regular" w:hAnsi="Times New Roman Regular" w:eastAsia="宋体" w:cs="Times New Roman Regular"/>
                <w:position w:val="2"/>
                <w:sz w:val="21"/>
                <w:szCs w:val="21"/>
              </w:rPr>
              <w:t>d</w:t>
            </w:r>
          </w:p>
        </w:tc>
        <w:tc>
          <w:tcPr>
            <w:tcW w:w="19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color w:val="FF0000"/>
                <w:spacing w:val="3"/>
                <w:sz w:val="21"/>
                <w:szCs w:val="21"/>
              </w:rPr>
              <w:t>9</w:t>
            </w:r>
            <w:r>
              <w:rPr>
                <w:rFonts w:hint="default" w:ascii="Times New Roman Regular" w:hAnsi="Times New Roman Regular" w:eastAsia="宋体" w:cs="Times New Roman Regular"/>
                <w:color w:val="FF0000"/>
                <w:spacing w:val="2"/>
                <w:sz w:val="21"/>
                <w:szCs w:val="21"/>
              </w:rPr>
              <w:t>60</w:t>
            </w:r>
          </w:p>
        </w:tc>
        <w:tc>
          <w:tcPr>
            <w:tcW w:w="2014"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园区供水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0" w:type="dxa"/>
            <w:vMerge w:val="continue"/>
            <w:tcBorders>
              <w:top w:val="nil"/>
              <w:lef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p>
        </w:tc>
        <w:tc>
          <w:tcPr>
            <w:tcW w:w="75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5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蒸</w:t>
            </w:r>
            <w:r>
              <w:rPr>
                <w:rFonts w:hint="eastAsia" w:ascii="宋体" w:hAnsi="宋体" w:eastAsia="宋体" w:cs="宋体"/>
                <w:spacing w:val="3"/>
                <w:sz w:val="21"/>
                <w:szCs w:val="21"/>
              </w:rPr>
              <w:t>汽</w:t>
            </w:r>
          </w:p>
        </w:tc>
        <w:tc>
          <w:tcPr>
            <w:tcW w:w="140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position w:val="2"/>
                <w:sz w:val="21"/>
                <w:szCs w:val="21"/>
              </w:rPr>
              <w:t>t</w:t>
            </w:r>
            <w:r>
              <w:rPr>
                <w:rFonts w:hint="default" w:ascii="Times New Roman Regular" w:hAnsi="Times New Roman Regular" w:eastAsia="宋体" w:cs="Times New Roman Regular"/>
                <w:spacing w:val="6"/>
                <w:position w:val="2"/>
                <w:sz w:val="21"/>
                <w:szCs w:val="21"/>
              </w:rPr>
              <w:t>/</w:t>
            </w:r>
            <w:r>
              <w:rPr>
                <w:rFonts w:hint="default" w:ascii="Times New Roman Regular" w:hAnsi="Times New Roman Regular" w:eastAsia="宋体" w:cs="Times New Roman Regular"/>
                <w:position w:val="2"/>
                <w:sz w:val="21"/>
                <w:szCs w:val="21"/>
              </w:rPr>
              <w:t>h</w:t>
            </w:r>
          </w:p>
        </w:tc>
        <w:tc>
          <w:tcPr>
            <w:tcW w:w="19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8"/>
                <w:sz w:val="21"/>
                <w:szCs w:val="21"/>
              </w:rPr>
              <w:t>1</w:t>
            </w:r>
            <w:r>
              <w:rPr>
                <w:rFonts w:hint="default" w:ascii="Times New Roman Regular" w:hAnsi="Times New Roman Regular" w:eastAsia="宋体" w:cs="Times New Roman Regular"/>
                <w:spacing w:val="-7"/>
                <w:sz w:val="21"/>
                <w:szCs w:val="21"/>
              </w:rPr>
              <w:t>2</w:t>
            </w:r>
          </w:p>
        </w:tc>
        <w:tc>
          <w:tcPr>
            <w:tcW w:w="2014" w:type="dxa"/>
            <w:tcBorders>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pacing w:val="9"/>
                <w:sz w:val="21"/>
                <w:szCs w:val="21"/>
              </w:rPr>
              <w:t>厂</w:t>
            </w:r>
            <w:r>
              <w:rPr>
                <w:rFonts w:hint="eastAsia" w:ascii="宋体" w:hAnsi="宋体" w:eastAsia="宋体" w:cs="宋体"/>
                <w:spacing w:val="6"/>
                <w:sz w:val="21"/>
                <w:szCs w:val="21"/>
              </w:rPr>
              <w:t>区现有</w:t>
            </w:r>
          </w:p>
        </w:tc>
      </w:tr>
    </w:tbl>
    <w:p>
      <w:pPr>
        <w:pStyle w:val="4"/>
        <w:bidi w:val="0"/>
        <w:ind w:firstLine="482" w:firstLineChars="200"/>
      </w:pPr>
      <w:bookmarkStart w:id="13" w:name="_Toc31400"/>
      <w:r>
        <w:rPr>
          <w:rFonts w:hint="eastAsia"/>
          <w:lang w:val="en-US" w:eastAsia="zh-CN"/>
        </w:rPr>
        <w:t>3.4.3</w:t>
      </w:r>
      <w:r>
        <w:t>物料运输</w:t>
      </w:r>
      <w:bookmarkEnd w:id="13"/>
    </w:p>
    <w:p>
      <w:pPr>
        <w:bidi w:val="0"/>
        <w:jc w:val="left"/>
        <w:rPr>
          <w:rFonts w:hint="eastAsia"/>
          <w:lang w:eastAsia="zh-CN"/>
        </w:rPr>
      </w:pPr>
      <w:r>
        <w:t>本项目主要原料为厂区制浆车间自产苇浆及外购木浆浆板，自产苇浆通过管道泵送至造纸车间</w:t>
      </w:r>
      <w:r>
        <w:rPr>
          <w:rFonts w:hint="eastAsia"/>
          <w:lang w:eastAsia="zh-CN"/>
        </w:rPr>
        <w:t>，</w:t>
      </w:r>
      <w:r>
        <w:t>本工程所用化工品均可在国内市场上采购，依托集团公司现有网络供应。</w:t>
      </w:r>
    </w:p>
    <w:p>
      <w:pPr>
        <w:pStyle w:val="4"/>
      </w:pPr>
      <w:bookmarkStart w:id="14" w:name="_Toc12614"/>
      <w:bookmarkStart w:id="15" w:name="_Toc27024"/>
      <w:r>
        <w:rPr>
          <w:rFonts w:hint="eastAsia"/>
          <w:lang w:val="en-US" w:eastAsia="zh-CN"/>
        </w:rPr>
        <w:t>3.5</w:t>
      </w:r>
      <w:r>
        <w:t>公用工程</w:t>
      </w:r>
      <w:bookmarkEnd w:id="14"/>
    </w:p>
    <w:p>
      <w:pPr>
        <w:pStyle w:val="4"/>
        <w:ind w:firstLine="482" w:firstLineChars="200"/>
      </w:pPr>
      <w:bookmarkStart w:id="16" w:name="_Toc3949"/>
      <w:r>
        <w:rPr>
          <w:rFonts w:hint="eastAsia"/>
          <w:lang w:val="en-US" w:eastAsia="zh-CN"/>
        </w:rPr>
        <w:t>3.5</w:t>
      </w:r>
      <w:r>
        <w:t>.1给水工程</w:t>
      </w:r>
      <w:bookmarkEnd w:id="16"/>
    </w:p>
    <w:p>
      <w:pPr>
        <w:bidi w:val="0"/>
      </w:pPr>
      <w:r>
        <w:t>本项目新上5台新月形卫生纸机。原有浆板机供水转移到造纸车间。现有的清水处理设施可以满足工程所需的清水用量。本项目依托现有厂区已建成清水泵房、清水池、循环冷却水站，不涉及改造。各车间生产用水由给水净化站统一加压供应，车间入口处清水供水压力≥0.3MPa。生活用水由园区市政自来水管道接入，生活用水量10.8m3/d。造纸车间生产用水量960m3/d，单位产品新鲜水用量为7.68m3/t产品，符合《工业用水定额：造纸》</w:t>
      </w:r>
      <w:r>
        <w:rPr>
          <w:rFonts w:hint="eastAsia"/>
          <w:lang w:eastAsia="zh-CN"/>
        </w:rPr>
        <w:t>（</w:t>
      </w:r>
      <w:r>
        <w:t>水节约〔2020〕311号</w:t>
      </w:r>
      <w:r>
        <w:rPr>
          <w:rFonts w:hint="eastAsia"/>
          <w:lang w:eastAsia="zh-CN"/>
        </w:rPr>
        <w:t>）</w:t>
      </w:r>
      <w:r>
        <w:t>中生活用纸取水量定额指标先进值</w:t>
      </w:r>
      <w:r>
        <w:rPr>
          <w:rFonts w:hint="eastAsia"/>
          <w:lang w:eastAsia="zh-CN"/>
        </w:rPr>
        <w:t>（</w:t>
      </w:r>
      <w:r>
        <w:t>先进值取水指标为25m3/t，通用值取水指标为30m3/t</w:t>
      </w:r>
      <w:r>
        <w:rPr>
          <w:rFonts w:hint="eastAsia"/>
          <w:lang w:eastAsia="zh-CN"/>
        </w:rPr>
        <w:t>）</w:t>
      </w:r>
      <w:r>
        <w:t>，同时也满足《制浆造纸行业清洁生产评价指标体系》中生活用纸I级基准值15m3/t。</w:t>
      </w:r>
    </w:p>
    <w:p>
      <w:pPr>
        <w:pStyle w:val="4"/>
        <w:ind w:firstLine="482" w:firstLineChars="200"/>
        <w:rPr>
          <w:rFonts w:ascii="Times New Roman" w:hAnsi="Times New Roman" w:eastAsia="宋体" w:cstheme="minorBidi"/>
          <w:b w:val="0"/>
          <w:bCs w:val="0"/>
          <w:kern w:val="2"/>
          <w:sz w:val="24"/>
          <w:szCs w:val="22"/>
          <w:lang w:val="en-US" w:eastAsia="zh-CN" w:bidi="ar-SA"/>
        </w:rPr>
      </w:pPr>
      <w:bookmarkStart w:id="17" w:name="_Toc31079"/>
      <w:r>
        <w:rPr>
          <w:rFonts w:hint="eastAsia"/>
          <w:lang w:val="en-US" w:eastAsia="zh-CN"/>
        </w:rPr>
        <w:t>3.5</w:t>
      </w:r>
      <w:r>
        <w:t>.2排水工程</w:t>
      </w:r>
      <w:bookmarkEnd w:id="17"/>
    </w:p>
    <w:p>
      <w:pPr>
        <w:bidi w:val="0"/>
        <w:rPr>
          <w:lang w:val="en-US" w:eastAsia="zh-CN"/>
        </w:rPr>
      </w:pPr>
      <w:r>
        <w:rPr>
          <w:lang w:val="en-US" w:eastAsia="zh-CN"/>
        </w:rPr>
        <w:t>现有厂区已建成污水处理站，其规模为日处理污水30000m3。本项目造纸车间白水，包括纸机网部成型白水、双网压滤白水等，经白水回收系统处理后全部回用。其他生产废水经厂区污水处理站处理后达到《制浆造纸工业水污染物排放标准》</w:t>
      </w:r>
      <w:r>
        <w:rPr>
          <w:rFonts w:hint="eastAsia"/>
          <w:lang w:val="en-US" w:eastAsia="zh-CN"/>
        </w:rPr>
        <w:t>（</w:t>
      </w:r>
      <w:r>
        <w:rPr>
          <w:lang w:val="en-US" w:eastAsia="zh-CN"/>
        </w:rPr>
        <w:t>GB3544-2008</w:t>
      </w:r>
      <w:r>
        <w:rPr>
          <w:rFonts w:hint="eastAsia"/>
          <w:lang w:val="en-US" w:eastAsia="zh-CN"/>
        </w:rPr>
        <w:t>）</w:t>
      </w:r>
      <w:r>
        <w:rPr>
          <w:lang w:val="en-US" w:eastAsia="zh-CN"/>
        </w:rPr>
        <w:t>表2制浆和造纸联合生产企业标准后，大部分厂区中水回用，余水近期进入纺织服装城污水处理厂处理，远期依托新建的库尔勒经济技术开发区日处理10万方污水处理厂。</w:t>
      </w:r>
    </w:p>
    <w:p>
      <w:pPr>
        <w:ind w:left="0" w:leftChars="0" w:firstLine="482" w:firstLineChars="200"/>
        <w:rPr>
          <w:rFonts w:ascii="Times New Roman" w:hAnsi="Times New Roman" w:eastAsia="宋体" w:cstheme="minorBidi"/>
          <w:b/>
          <w:bCs/>
          <w:kern w:val="2"/>
          <w:sz w:val="24"/>
          <w:szCs w:val="32"/>
          <w:lang w:val="en-US" w:eastAsia="zh-CN" w:bidi="ar-SA"/>
        </w:rPr>
      </w:pPr>
      <w:r>
        <w:rPr>
          <w:rFonts w:hint="eastAsia" w:cstheme="minorBidi"/>
          <w:b/>
          <w:bCs/>
          <w:kern w:val="2"/>
          <w:sz w:val="24"/>
          <w:szCs w:val="32"/>
          <w:lang w:val="en-US" w:eastAsia="zh-CN" w:bidi="ar-SA"/>
        </w:rPr>
        <w:t>3.5</w:t>
      </w:r>
      <w:r>
        <w:rPr>
          <w:rFonts w:ascii="Times New Roman" w:hAnsi="Times New Roman" w:eastAsia="宋体" w:cstheme="minorBidi"/>
          <w:b/>
          <w:bCs/>
          <w:kern w:val="2"/>
          <w:sz w:val="24"/>
          <w:szCs w:val="32"/>
          <w:lang w:val="en-US" w:eastAsia="zh-CN" w:bidi="ar-SA"/>
        </w:rPr>
        <w:t>.3采暖、通风等工程</w:t>
      </w:r>
    </w:p>
    <w:p>
      <w:r>
        <w:t>本项目依托现有厂区已建有采暖、通风、空调和制冷系统，本次不再改造。厂房以自然通风为主，辅以部分机械通风系统。各车间配电室、控制室、值班室、办公室等设分体空调用于夏季室内降温。</w:t>
      </w:r>
    </w:p>
    <w:p>
      <w:r>
        <w:t>冬季采暖热媒采用热水，利用现有热电站的汽水热交换系统，向全厂供采暖热水，并充分利用冷凝水，以节约能源。</w:t>
      </w:r>
    </w:p>
    <w:p>
      <w:pPr>
        <w:ind w:left="0" w:leftChars="0" w:firstLine="480" w:firstLineChars="200"/>
      </w:pPr>
      <w:r>
        <w:rPr>
          <w:rFonts w:hint="eastAsia"/>
          <w:lang w:val="en-US" w:eastAsia="zh-CN"/>
        </w:rPr>
        <w:t>3.5</w:t>
      </w:r>
      <w:r>
        <w:t>.4供电工程</w:t>
      </w:r>
    </w:p>
    <w:p>
      <w:r>
        <w:t>本项目工程依托于现有的供电工程，包括造纸车间和成品库等动力配电，照明、防雷及接地、消防及通讯等设计。供电电源由10kV配电室经10kV馈线送车间变压器向用电设备及照明供电。</w:t>
      </w:r>
    </w:p>
    <w:p>
      <w:pPr>
        <w:ind w:left="0" w:leftChars="0" w:firstLine="480" w:firstLineChars="200"/>
      </w:pPr>
      <w:r>
        <w:rPr>
          <w:rFonts w:hint="eastAsia"/>
          <w:lang w:val="en-US" w:eastAsia="zh-CN"/>
        </w:rPr>
        <w:t>3.5</w:t>
      </w:r>
      <w:r>
        <w:t>.5供热工程</w:t>
      </w:r>
    </w:p>
    <w:p>
      <w:r>
        <w:t>项目需要的热负荷见表</w:t>
      </w:r>
      <w:r>
        <w:rPr>
          <w:rFonts w:hint="eastAsia"/>
          <w:lang w:val="en-US" w:eastAsia="zh-CN"/>
        </w:rPr>
        <w:t>3.5</w:t>
      </w:r>
      <w:r>
        <w:t>-1。蒸汽可直接供应造纸车间，满足生产需要。</w:t>
      </w:r>
    </w:p>
    <w:p>
      <w:pPr>
        <w:jc w:val="center"/>
        <w:rPr>
          <w:b/>
          <w:bCs/>
        </w:rPr>
      </w:pPr>
      <w:r>
        <w:rPr>
          <w:b/>
          <w:bCs/>
        </w:rPr>
        <w:t>表</w:t>
      </w:r>
      <w:r>
        <w:rPr>
          <w:rFonts w:hint="eastAsia"/>
          <w:b/>
          <w:bCs/>
          <w:lang w:val="en-US" w:eastAsia="zh-CN"/>
        </w:rPr>
        <w:t>3.5</w:t>
      </w:r>
      <w:r>
        <w:rPr>
          <w:b/>
          <w:bCs/>
        </w:rPr>
        <w:t>-1造纸车间新增热负荷</w:t>
      </w:r>
    </w:p>
    <w:tbl>
      <w:tblPr>
        <w:tblStyle w:val="62"/>
        <w:tblW w:w="850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607"/>
        <w:gridCol w:w="1429"/>
        <w:gridCol w:w="1987"/>
        <w:gridCol w:w="26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87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序号</w:t>
            </w:r>
          </w:p>
        </w:tc>
        <w:tc>
          <w:tcPr>
            <w:tcW w:w="16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造纸车间</w:t>
            </w:r>
          </w:p>
        </w:tc>
        <w:tc>
          <w:tcPr>
            <w:tcW w:w="14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蒸汽压力</w:t>
            </w:r>
          </w:p>
        </w:tc>
        <w:tc>
          <w:tcPr>
            <w:tcW w:w="198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sz w:val="21"/>
                <w:szCs w:val="21"/>
              </w:rPr>
              <w:t>平均用量</w:t>
            </w:r>
            <w:r>
              <w:rPr>
                <w:rFonts w:hint="eastAsia"/>
                <w:sz w:val="21"/>
                <w:szCs w:val="21"/>
                <w:lang w:eastAsia="zh-CN"/>
              </w:rPr>
              <w:t>（</w:t>
            </w:r>
            <w:r>
              <w:rPr>
                <w:sz w:val="21"/>
                <w:szCs w:val="21"/>
              </w:rPr>
              <w:t>t/h</w:t>
            </w:r>
            <w:r>
              <w:rPr>
                <w:rFonts w:hint="eastAsia"/>
                <w:sz w:val="21"/>
                <w:szCs w:val="21"/>
                <w:lang w:eastAsia="zh-CN"/>
              </w:rPr>
              <w:t>）</w:t>
            </w:r>
          </w:p>
        </w:tc>
        <w:tc>
          <w:tcPr>
            <w:tcW w:w="2602"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7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w:t>
            </w:r>
          </w:p>
        </w:tc>
        <w:tc>
          <w:tcPr>
            <w:tcW w:w="16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非采暖季</w:t>
            </w:r>
          </w:p>
        </w:tc>
        <w:tc>
          <w:tcPr>
            <w:tcW w:w="14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198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602"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8个月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7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w:t>
            </w:r>
          </w:p>
        </w:tc>
        <w:tc>
          <w:tcPr>
            <w:tcW w:w="16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生产用汽</w:t>
            </w:r>
          </w:p>
        </w:tc>
        <w:tc>
          <w:tcPr>
            <w:tcW w:w="14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6bar</w:t>
            </w:r>
          </w:p>
        </w:tc>
        <w:tc>
          <w:tcPr>
            <w:tcW w:w="198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12</w:t>
            </w:r>
          </w:p>
        </w:tc>
        <w:tc>
          <w:tcPr>
            <w:tcW w:w="2602"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造纸车间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7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二</w:t>
            </w:r>
          </w:p>
        </w:tc>
        <w:tc>
          <w:tcPr>
            <w:tcW w:w="16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采暖季</w:t>
            </w:r>
          </w:p>
        </w:tc>
        <w:tc>
          <w:tcPr>
            <w:tcW w:w="14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198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602"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4个月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7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w:t>
            </w:r>
          </w:p>
        </w:tc>
        <w:tc>
          <w:tcPr>
            <w:tcW w:w="16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生产用汽</w:t>
            </w:r>
          </w:p>
        </w:tc>
        <w:tc>
          <w:tcPr>
            <w:tcW w:w="14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6bar</w:t>
            </w:r>
          </w:p>
        </w:tc>
        <w:tc>
          <w:tcPr>
            <w:tcW w:w="198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12</w:t>
            </w:r>
          </w:p>
        </w:tc>
        <w:tc>
          <w:tcPr>
            <w:tcW w:w="2602"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造纸车间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87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2</w:t>
            </w:r>
          </w:p>
        </w:tc>
        <w:tc>
          <w:tcPr>
            <w:tcW w:w="16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暖通用汽</w:t>
            </w:r>
          </w:p>
        </w:tc>
        <w:tc>
          <w:tcPr>
            <w:tcW w:w="14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6bar</w:t>
            </w:r>
          </w:p>
        </w:tc>
        <w:tc>
          <w:tcPr>
            <w:tcW w:w="198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0.9</w:t>
            </w:r>
          </w:p>
        </w:tc>
        <w:tc>
          <w:tcPr>
            <w:tcW w:w="2602"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造纸车间、后加工车间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7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16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合计</w:t>
            </w:r>
          </w:p>
        </w:tc>
        <w:tc>
          <w:tcPr>
            <w:tcW w:w="14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198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12.9</w:t>
            </w:r>
          </w:p>
        </w:tc>
        <w:tc>
          <w:tcPr>
            <w:tcW w:w="2602"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r>
    </w:tbl>
    <w:p>
      <w:pPr>
        <w:pStyle w:val="3"/>
        <w:bidi w:val="0"/>
      </w:pPr>
      <w:bookmarkStart w:id="18" w:name="_Toc20185"/>
      <w:r>
        <w:rPr>
          <w:rFonts w:hint="eastAsia"/>
          <w:lang w:val="en-US" w:eastAsia="zh-CN"/>
        </w:rPr>
        <w:t>3.6</w:t>
      </w:r>
      <w:r>
        <w:t>物料平衡及水平衡</w:t>
      </w:r>
      <w:bookmarkEnd w:id="18"/>
    </w:p>
    <w:p>
      <w:pPr>
        <w:pStyle w:val="4"/>
        <w:bidi w:val="0"/>
      </w:pPr>
      <w:bookmarkStart w:id="19" w:name="_Toc29270"/>
      <w:r>
        <w:rPr>
          <w:rFonts w:hint="eastAsia"/>
          <w:lang w:val="en-US" w:eastAsia="zh-CN"/>
        </w:rPr>
        <w:t>3.6</w:t>
      </w:r>
      <w:r>
        <w:t>.1浆水平衡</w:t>
      </w:r>
      <w:bookmarkEnd w:id="19"/>
    </w:p>
    <w:p>
      <w:pPr>
        <w:bidi w:val="0"/>
      </w:pPr>
      <w:r>
        <w:t>本项目100t/d造纸生产线原料为自产本色苇浆</w:t>
      </w:r>
      <w:r>
        <w:rPr>
          <w:rFonts w:hint="eastAsia"/>
          <w:lang w:eastAsia="zh-CN"/>
        </w:rPr>
        <w:t>（</w:t>
      </w:r>
      <w:r>
        <w:t>90%</w:t>
      </w:r>
      <w:r>
        <w:rPr>
          <w:rFonts w:hint="eastAsia"/>
          <w:lang w:eastAsia="zh-CN"/>
        </w:rPr>
        <w:t>）</w:t>
      </w:r>
      <w:r>
        <w:t>和外购商品木浆浆板</w:t>
      </w:r>
      <w:r>
        <w:tab/>
      </w:r>
      <w:r>
        <w:rPr>
          <w:rFonts w:hint="eastAsia"/>
          <w:lang w:eastAsia="zh-CN"/>
        </w:rPr>
        <w:t>（</w:t>
      </w:r>
      <w:r>
        <w:t>10%</w:t>
      </w:r>
      <w:r>
        <w:rPr>
          <w:rFonts w:hint="eastAsia"/>
          <w:lang w:eastAsia="zh-CN"/>
        </w:rPr>
        <w:t>）</w:t>
      </w:r>
      <w:r>
        <w:t>；25t/d造纸生产线原料为自产本色苇浆</w:t>
      </w:r>
      <w:r>
        <w:rPr>
          <w:rFonts w:hint="eastAsia"/>
          <w:lang w:eastAsia="zh-CN"/>
        </w:rPr>
        <w:t>（</w:t>
      </w:r>
      <w:r>
        <w:t>100%</w:t>
      </w:r>
      <w:r>
        <w:rPr>
          <w:rFonts w:hint="eastAsia"/>
          <w:lang w:eastAsia="zh-CN"/>
        </w:rPr>
        <w:t>）</w:t>
      </w:r>
      <w:r>
        <w:t>，改建项目各生产线浆水平衡详见图</w:t>
      </w:r>
      <w:r>
        <w:rPr>
          <w:rFonts w:hint="eastAsia"/>
          <w:lang w:val="en-US" w:eastAsia="zh-CN"/>
        </w:rPr>
        <w:t>3.6</w:t>
      </w:r>
      <w:r>
        <w:t>-1、图</w:t>
      </w:r>
      <w:r>
        <w:rPr>
          <w:rFonts w:hint="eastAsia"/>
          <w:lang w:val="en-US" w:eastAsia="zh-CN"/>
        </w:rPr>
        <w:t>3.6</w:t>
      </w:r>
      <w:r>
        <w:t>-2，白水回收系统浆水平衡见图</w:t>
      </w:r>
      <w:r>
        <w:rPr>
          <w:rFonts w:hint="eastAsia"/>
          <w:lang w:val="en-US" w:eastAsia="zh-CN"/>
        </w:rPr>
        <w:t>3.6</w:t>
      </w:r>
      <w:r>
        <w:t>-3。</w:t>
      </w:r>
    </w:p>
    <w:p>
      <w:r>
        <w:drawing>
          <wp:inline distT="0" distB="0" distL="114300" distR="114300">
            <wp:extent cx="5740400" cy="8202295"/>
            <wp:effectExtent l="0" t="0" r="3175" b="8255"/>
            <wp:docPr id="77" name="图片 6"/>
            <wp:cNvGraphicFramePr/>
            <a:graphic xmlns:a="http://schemas.openxmlformats.org/drawingml/2006/main">
              <a:graphicData uri="http://schemas.openxmlformats.org/drawingml/2006/picture">
                <pic:pic xmlns:pic="http://schemas.openxmlformats.org/drawingml/2006/picture">
                  <pic:nvPicPr>
                    <pic:cNvPr id="77" name="图片 6"/>
                    <pic:cNvPicPr/>
                  </pic:nvPicPr>
                  <pic:blipFill>
                    <a:blip r:embed="rId14"/>
                    <a:stretch>
                      <a:fillRect/>
                    </a:stretch>
                  </pic:blipFill>
                  <pic:spPr>
                    <a:xfrm>
                      <a:off x="0" y="0"/>
                      <a:ext cx="5740400" cy="8202295"/>
                    </a:xfrm>
                    <a:prstGeom prst="rect">
                      <a:avLst/>
                    </a:prstGeom>
                    <a:noFill/>
                    <a:ln>
                      <a:noFill/>
                    </a:ln>
                  </pic:spPr>
                </pic:pic>
              </a:graphicData>
            </a:graphic>
          </wp:inline>
        </w:drawing>
      </w:r>
    </w:p>
    <w:p>
      <w:pPr>
        <w:spacing w:line="318" w:lineRule="exact"/>
        <w:jc w:val="both"/>
        <w:rPr>
          <w:rFonts w:hint="eastAsia" w:ascii="黑体" w:hAnsi="黑体" w:eastAsia="黑体" w:cs="黑体"/>
          <w:spacing w:val="2"/>
          <w:position w:val="3"/>
          <w:sz w:val="23"/>
          <w:szCs w:val="23"/>
          <w:lang w:eastAsia="zh-CN"/>
        </w:rPr>
      </w:pPr>
      <w:r>
        <w:rPr>
          <w:rFonts w:ascii="黑体" w:hAnsi="黑体" w:eastAsia="黑体" w:cs="黑体"/>
          <w:spacing w:val="4"/>
          <w:position w:val="3"/>
          <w:sz w:val="23"/>
          <w:szCs w:val="23"/>
        </w:rPr>
        <w:t>图</w:t>
      </w:r>
      <w:r>
        <w:rPr>
          <w:rFonts w:hint="eastAsia" w:cs="Times New Roman"/>
          <w:spacing w:val="4"/>
          <w:position w:val="3"/>
          <w:sz w:val="23"/>
          <w:szCs w:val="23"/>
          <w:lang w:val="en-US" w:eastAsia="zh-CN"/>
        </w:rPr>
        <w:t>3.6</w:t>
      </w:r>
      <w:r>
        <w:rPr>
          <w:rFonts w:ascii="Times New Roman" w:hAnsi="Times New Roman" w:eastAsia="Times New Roman" w:cs="Times New Roman"/>
          <w:spacing w:val="2"/>
          <w:position w:val="3"/>
          <w:sz w:val="23"/>
          <w:szCs w:val="23"/>
        </w:rPr>
        <w:t>-1100</w:t>
      </w:r>
      <w:r>
        <w:rPr>
          <w:rFonts w:ascii="Times New Roman" w:hAnsi="Times New Roman" w:eastAsia="Times New Roman" w:cs="Times New Roman"/>
          <w:position w:val="3"/>
          <w:sz w:val="23"/>
          <w:szCs w:val="23"/>
        </w:rPr>
        <w:t>t</w:t>
      </w:r>
      <w:r>
        <w:rPr>
          <w:rFonts w:ascii="Times New Roman" w:hAnsi="Times New Roman" w:eastAsia="Times New Roman" w:cs="Times New Roman"/>
          <w:spacing w:val="2"/>
          <w:position w:val="3"/>
          <w:sz w:val="23"/>
          <w:szCs w:val="23"/>
        </w:rPr>
        <w:t>/</w:t>
      </w:r>
      <w:r>
        <w:rPr>
          <w:rFonts w:ascii="Times New Roman" w:hAnsi="Times New Roman" w:eastAsia="Times New Roman" w:cs="Times New Roman"/>
          <w:position w:val="3"/>
          <w:sz w:val="23"/>
          <w:szCs w:val="23"/>
        </w:rPr>
        <w:t>d</w:t>
      </w:r>
      <w:r>
        <w:rPr>
          <w:rFonts w:ascii="黑体" w:hAnsi="黑体" w:eastAsia="黑体" w:cs="黑体"/>
          <w:spacing w:val="2"/>
          <w:position w:val="3"/>
          <w:sz w:val="23"/>
          <w:szCs w:val="23"/>
        </w:rPr>
        <w:t>造纸生产线浆水平衡图</w:t>
      </w:r>
      <w:r>
        <w:rPr>
          <w:rFonts w:hint="eastAsia" w:ascii="黑体" w:hAnsi="黑体" w:eastAsia="黑体" w:cs="黑体"/>
          <w:spacing w:val="2"/>
          <w:position w:val="3"/>
          <w:sz w:val="23"/>
          <w:szCs w:val="23"/>
          <w:lang w:eastAsia="zh-CN"/>
        </w:rPr>
        <w:t>（</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2"/>
          <w:position w:val="3"/>
          <w:sz w:val="23"/>
          <w:szCs w:val="23"/>
        </w:rPr>
        <w:t>/</w:t>
      </w:r>
      <w:r>
        <w:rPr>
          <w:rFonts w:ascii="黑体" w:hAnsi="黑体" w:eastAsia="黑体" w:cs="黑体"/>
          <w:spacing w:val="2"/>
          <w:position w:val="3"/>
          <w:sz w:val="23"/>
          <w:szCs w:val="23"/>
        </w:rPr>
        <w:t>吨纸</w:t>
      </w:r>
      <w:r>
        <w:rPr>
          <w:rFonts w:hint="eastAsia" w:ascii="黑体" w:hAnsi="黑体" w:eastAsia="黑体" w:cs="黑体"/>
          <w:spacing w:val="2"/>
          <w:position w:val="3"/>
          <w:sz w:val="23"/>
          <w:szCs w:val="23"/>
          <w:lang w:eastAsia="zh-CN"/>
        </w:rPr>
        <w:t>）</w:t>
      </w:r>
    </w:p>
    <w:p>
      <w:pPr>
        <w:pStyle w:val="3"/>
      </w:pPr>
      <w:bookmarkStart w:id="20" w:name="_Toc17045"/>
      <w:r>
        <w:drawing>
          <wp:inline distT="0" distB="0" distL="114300" distR="114300">
            <wp:extent cx="5638800" cy="8062595"/>
            <wp:effectExtent l="0" t="0" r="0" b="5080"/>
            <wp:docPr id="78" name="图片 7"/>
            <wp:cNvGraphicFramePr/>
            <a:graphic xmlns:a="http://schemas.openxmlformats.org/drawingml/2006/main">
              <a:graphicData uri="http://schemas.openxmlformats.org/drawingml/2006/picture">
                <pic:pic xmlns:pic="http://schemas.openxmlformats.org/drawingml/2006/picture">
                  <pic:nvPicPr>
                    <pic:cNvPr id="78" name="图片 7"/>
                    <pic:cNvPicPr/>
                  </pic:nvPicPr>
                  <pic:blipFill>
                    <a:blip r:embed="rId15"/>
                    <a:stretch>
                      <a:fillRect/>
                    </a:stretch>
                  </pic:blipFill>
                  <pic:spPr>
                    <a:xfrm>
                      <a:off x="0" y="0"/>
                      <a:ext cx="5638800" cy="8062595"/>
                    </a:xfrm>
                    <a:prstGeom prst="rect">
                      <a:avLst/>
                    </a:prstGeom>
                    <a:noFill/>
                    <a:ln>
                      <a:noFill/>
                    </a:ln>
                  </pic:spPr>
                </pic:pic>
              </a:graphicData>
            </a:graphic>
          </wp:inline>
        </w:drawing>
      </w:r>
      <w:bookmarkEnd w:id="20"/>
    </w:p>
    <w:p>
      <w:pPr>
        <w:spacing w:line="317" w:lineRule="exact"/>
        <w:rPr>
          <w:rFonts w:hint="eastAsia" w:ascii="黑体" w:hAnsi="黑体" w:eastAsia="黑体" w:cs="黑体"/>
          <w:sz w:val="23"/>
          <w:szCs w:val="23"/>
          <w:lang w:eastAsia="zh-CN"/>
        </w:rPr>
      </w:pPr>
      <w:r>
        <w:rPr>
          <w:rFonts w:ascii="黑体" w:hAnsi="黑体" w:eastAsia="黑体" w:cs="黑体"/>
          <w:spacing w:val="6"/>
          <w:position w:val="3"/>
          <w:sz w:val="23"/>
          <w:szCs w:val="23"/>
        </w:rPr>
        <w:t>图</w:t>
      </w:r>
      <w:r>
        <w:rPr>
          <w:rFonts w:hint="eastAsia" w:cs="Times New Roman"/>
          <w:spacing w:val="4"/>
          <w:position w:val="3"/>
          <w:sz w:val="23"/>
          <w:szCs w:val="23"/>
          <w:lang w:val="en-US" w:eastAsia="zh-CN"/>
        </w:rPr>
        <w:t>3.6</w:t>
      </w:r>
      <w:r>
        <w:rPr>
          <w:rFonts w:ascii="Times New Roman" w:hAnsi="Times New Roman" w:eastAsia="Times New Roman" w:cs="Times New Roman"/>
          <w:spacing w:val="4"/>
          <w:position w:val="3"/>
          <w:sz w:val="23"/>
          <w:szCs w:val="23"/>
        </w:rPr>
        <w:t>-225</w:t>
      </w:r>
      <w:r>
        <w:rPr>
          <w:rFonts w:ascii="Times New Roman" w:hAnsi="Times New Roman" w:eastAsia="Times New Roman" w:cs="Times New Roman"/>
          <w:position w:val="3"/>
          <w:sz w:val="23"/>
          <w:szCs w:val="23"/>
        </w:rPr>
        <w:t>t</w:t>
      </w:r>
      <w:r>
        <w:rPr>
          <w:rFonts w:ascii="Times New Roman" w:hAnsi="Times New Roman" w:eastAsia="Times New Roman" w:cs="Times New Roman"/>
          <w:spacing w:val="4"/>
          <w:position w:val="3"/>
          <w:sz w:val="23"/>
          <w:szCs w:val="23"/>
        </w:rPr>
        <w:t>/</w:t>
      </w:r>
      <w:r>
        <w:rPr>
          <w:rFonts w:ascii="Times New Roman" w:hAnsi="Times New Roman" w:eastAsia="Times New Roman" w:cs="Times New Roman"/>
          <w:position w:val="3"/>
          <w:sz w:val="23"/>
          <w:szCs w:val="23"/>
        </w:rPr>
        <w:t>d</w:t>
      </w:r>
      <w:r>
        <w:rPr>
          <w:rFonts w:ascii="黑体" w:hAnsi="黑体" w:eastAsia="黑体" w:cs="黑体"/>
          <w:spacing w:val="4"/>
          <w:position w:val="3"/>
          <w:sz w:val="23"/>
          <w:szCs w:val="23"/>
        </w:rPr>
        <w:t>造纸生产线浆水平衡图</w:t>
      </w:r>
      <w:r>
        <w:rPr>
          <w:rFonts w:hint="eastAsia" w:ascii="黑体" w:hAnsi="黑体" w:eastAsia="黑体" w:cs="黑体"/>
          <w:spacing w:val="4"/>
          <w:position w:val="3"/>
          <w:sz w:val="23"/>
          <w:szCs w:val="23"/>
          <w:lang w:eastAsia="zh-CN"/>
        </w:rPr>
        <w:t>（</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4"/>
          <w:position w:val="3"/>
          <w:sz w:val="23"/>
          <w:szCs w:val="23"/>
        </w:rPr>
        <w:t>/</w:t>
      </w:r>
      <w:r>
        <w:rPr>
          <w:rFonts w:ascii="黑体" w:hAnsi="黑体" w:eastAsia="黑体" w:cs="黑体"/>
          <w:spacing w:val="4"/>
          <w:position w:val="3"/>
          <w:sz w:val="23"/>
          <w:szCs w:val="23"/>
        </w:rPr>
        <w:t>吨纸</w:t>
      </w:r>
      <w:r>
        <w:rPr>
          <w:rFonts w:hint="eastAsia" w:ascii="黑体" w:hAnsi="黑体" w:eastAsia="黑体" w:cs="黑体"/>
          <w:spacing w:val="4"/>
          <w:position w:val="3"/>
          <w:sz w:val="23"/>
          <w:szCs w:val="23"/>
          <w:lang w:eastAsia="zh-CN"/>
        </w:rPr>
        <w:t>）</w:t>
      </w:r>
    </w:p>
    <w:p>
      <w:pPr>
        <w:bidi w:val="0"/>
        <w:jc w:val="center"/>
        <w:rPr>
          <w:rFonts w:hint="eastAsia" w:ascii="黑体" w:hAnsi="黑体" w:eastAsia="宋体" w:cs="黑体"/>
          <w:sz w:val="23"/>
          <w:szCs w:val="23"/>
          <w:lang w:eastAsia="zh-CN"/>
        </w:rPr>
      </w:pPr>
      <w:r>
        <w:drawing>
          <wp:inline distT="0" distB="0" distL="114300" distR="114300">
            <wp:extent cx="5263515" cy="4655820"/>
            <wp:effectExtent l="0" t="0" r="0" b="0"/>
            <wp:docPr id="79" name="图片 8"/>
            <wp:cNvGraphicFramePr/>
            <a:graphic xmlns:a="http://schemas.openxmlformats.org/drawingml/2006/main">
              <a:graphicData uri="http://schemas.openxmlformats.org/drawingml/2006/picture">
                <pic:pic xmlns:pic="http://schemas.openxmlformats.org/drawingml/2006/picture">
                  <pic:nvPicPr>
                    <pic:cNvPr id="79" name="图片 8"/>
                    <pic:cNvPicPr/>
                  </pic:nvPicPr>
                  <pic:blipFill>
                    <a:blip r:embed="rId16"/>
                    <a:stretch>
                      <a:fillRect/>
                    </a:stretch>
                  </pic:blipFill>
                  <pic:spPr>
                    <a:xfrm>
                      <a:off x="0" y="0"/>
                      <a:ext cx="5263515" cy="4655820"/>
                    </a:xfrm>
                    <a:prstGeom prst="rect">
                      <a:avLst/>
                    </a:prstGeom>
                    <a:noFill/>
                    <a:ln>
                      <a:noFill/>
                    </a:ln>
                  </pic:spPr>
                </pic:pic>
              </a:graphicData>
            </a:graphic>
          </wp:inline>
        </w:drawing>
      </w:r>
      <w:r>
        <w:rPr>
          <w:rFonts w:ascii="黑体" w:hAnsi="黑体" w:eastAsia="黑体" w:cs="黑体"/>
          <w:spacing w:val="6"/>
          <w:position w:val="1"/>
          <w:sz w:val="23"/>
          <w:szCs w:val="23"/>
        </w:rPr>
        <w:t>图</w:t>
      </w:r>
      <w:r>
        <w:rPr>
          <w:rFonts w:hint="eastAsia" w:cs="Times New Roman"/>
          <w:spacing w:val="6"/>
          <w:position w:val="1"/>
          <w:sz w:val="23"/>
          <w:szCs w:val="23"/>
          <w:lang w:val="en-US" w:eastAsia="zh-CN"/>
        </w:rPr>
        <w:t>3.6</w:t>
      </w:r>
      <w:r>
        <w:rPr>
          <w:rFonts w:ascii="Times New Roman" w:hAnsi="Times New Roman" w:eastAsia="Times New Roman" w:cs="Times New Roman"/>
          <w:spacing w:val="3"/>
          <w:position w:val="1"/>
          <w:sz w:val="23"/>
          <w:szCs w:val="23"/>
        </w:rPr>
        <w:t>-3</w:t>
      </w:r>
      <w:r>
        <w:rPr>
          <w:rFonts w:ascii="黑体" w:hAnsi="黑体" w:eastAsia="黑体" w:cs="黑体"/>
          <w:spacing w:val="3"/>
          <w:position w:val="1"/>
          <w:sz w:val="23"/>
          <w:szCs w:val="23"/>
        </w:rPr>
        <w:t>白水回收系统浆水平衡图</w:t>
      </w:r>
      <w:r>
        <w:rPr>
          <w:rFonts w:hint="eastAsia" w:ascii="黑体" w:hAnsi="黑体" w:eastAsia="黑体" w:cs="黑体"/>
          <w:spacing w:val="3"/>
          <w:position w:val="1"/>
          <w:sz w:val="23"/>
          <w:szCs w:val="23"/>
          <w:lang w:eastAsia="zh-CN"/>
        </w:rPr>
        <w:t>（</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3"/>
          <w:position w:val="1"/>
          <w:sz w:val="23"/>
          <w:szCs w:val="23"/>
        </w:rPr>
        <w:t>/</w:t>
      </w:r>
      <w:r>
        <w:rPr>
          <w:rFonts w:ascii="Times New Roman" w:hAnsi="Times New Roman" w:eastAsia="Times New Roman" w:cs="Times New Roman"/>
          <w:position w:val="1"/>
          <w:sz w:val="23"/>
          <w:szCs w:val="23"/>
        </w:rPr>
        <w:t>d</w:t>
      </w:r>
      <w:r>
        <w:rPr>
          <w:rFonts w:hint="eastAsia" w:ascii="黑体" w:hAnsi="黑体" w:eastAsia="黑体" w:cs="黑体"/>
          <w:spacing w:val="3"/>
          <w:position w:val="1"/>
          <w:sz w:val="23"/>
          <w:szCs w:val="23"/>
          <w:lang w:eastAsia="zh-CN"/>
        </w:rPr>
        <w:t>）</w:t>
      </w:r>
    </w:p>
    <w:p>
      <w:pPr>
        <w:pStyle w:val="4"/>
        <w:bidi w:val="0"/>
      </w:pPr>
      <w:bookmarkStart w:id="21" w:name="_Toc28458"/>
      <w:r>
        <w:rPr>
          <w:rFonts w:hint="eastAsia"/>
          <w:lang w:val="en-US" w:eastAsia="zh-CN"/>
        </w:rPr>
        <w:t>3.6</w:t>
      </w:r>
      <w:r>
        <w:t>.2物料平衡</w:t>
      </w:r>
      <w:bookmarkEnd w:id="21"/>
    </w:p>
    <w:p>
      <w:r>
        <w:t>本项目25t/d造纸生产线原料为自产本色苇浆</w:t>
      </w:r>
      <w:r>
        <w:rPr>
          <w:rFonts w:hint="eastAsia"/>
          <w:lang w:eastAsia="zh-CN"/>
        </w:rPr>
        <w:t>（</w:t>
      </w:r>
      <w:r>
        <w:t>100%</w:t>
      </w:r>
      <w:r>
        <w:rPr>
          <w:rFonts w:hint="eastAsia"/>
          <w:lang w:eastAsia="zh-CN"/>
        </w:rPr>
        <w:t>）</w:t>
      </w:r>
      <w:r>
        <w:t>，100t/d造纸生产线原料为自产本色苇浆</w:t>
      </w:r>
      <w:r>
        <w:rPr>
          <w:rFonts w:hint="eastAsia"/>
          <w:lang w:eastAsia="zh-CN"/>
        </w:rPr>
        <w:t>（</w:t>
      </w:r>
      <w:r>
        <w:t>90%</w:t>
      </w:r>
      <w:r>
        <w:rPr>
          <w:rFonts w:hint="eastAsia"/>
          <w:lang w:eastAsia="zh-CN"/>
        </w:rPr>
        <w:t>）</w:t>
      </w:r>
      <w:r>
        <w:t>和外购商品木浆浆板</w:t>
      </w:r>
      <w:r>
        <w:rPr>
          <w:rFonts w:hint="eastAsia"/>
          <w:lang w:eastAsia="zh-CN"/>
        </w:rPr>
        <w:t>（</w:t>
      </w:r>
      <w:r>
        <w:t>10%</w:t>
      </w:r>
      <w:r>
        <w:rPr>
          <w:rFonts w:hint="eastAsia"/>
          <w:lang w:eastAsia="zh-CN"/>
        </w:rPr>
        <w:t>）</w:t>
      </w:r>
      <w:r>
        <w:t>，项目物料平衡</w:t>
      </w:r>
      <w:r>
        <w:rPr>
          <w:rFonts w:hint="eastAsia"/>
          <w:lang w:eastAsia="zh-CN"/>
        </w:rPr>
        <w:t>（</w:t>
      </w:r>
      <w:r>
        <w:t>绝干量</w:t>
      </w:r>
      <w:r>
        <w:rPr>
          <w:rFonts w:hint="eastAsia"/>
          <w:lang w:eastAsia="zh-CN"/>
        </w:rPr>
        <w:t>）</w:t>
      </w:r>
      <w:r>
        <w:t>详见表</w:t>
      </w:r>
      <w:r>
        <w:rPr>
          <w:rFonts w:hint="eastAsia"/>
          <w:lang w:val="en-US" w:eastAsia="zh-CN"/>
        </w:rPr>
        <w:t>3.6</w:t>
      </w:r>
      <w:r>
        <w:t>-1、表</w:t>
      </w:r>
      <w:r>
        <w:rPr>
          <w:rFonts w:hint="eastAsia"/>
          <w:lang w:val="en-US" w:eastAsia="zh-CN"/>
        </w:rPr>
        <w:t>3.6</w:t>
      </w:r>
      <w:r>
        <w:t>-2。</w:t>
      </w:r>
    </w:p>
    <w:p>
      <w:pPr>
        <w:jc w:val="center"/>
        <w:rPr>
          <w:rFonts w:hint="eastAsia" w:eastAsia="宋体"/>
          <w:lang w:eastAsia="zh-CN"/>
        </w:rPr>
      </w:pPr>
      <w:r>
        <w:t>表</w:t>
      </w:r>
      <w:r>
        <w:rPr>
          <w:rFonts w:hint="eastAsia"/>
          <w:lang w:val="en-US" w:eastAsia="zh-CN"/>
        </w:rPr>
        <w:t>3.6</w:t>
      </w:r>
      <w:r>
        <w:t>-125t/d造纸生产线物料平衡一览表</w:t>
      </w:r>
      <w:r>
        <w:rPr>
          <w:rFonts w:hint="eastAsia"/>
          <w:lang w:eastAsia="zh-CN"/>
        </w:rPr>
        <w:t>（</w:t>
      </w:r>
      <w:r>
        <w:t>绝干量</w:t>
      </w:r>
      <w:r>
        <w:rPr>
          <w:rFonts w:hint="eastAsia"/>
          <w:lang w:eastAsia="zh-CN"/>
        </w:rPr>
        <w:t>）</w:t>
      </w:r>
    </w:p>
    <w:tbl>
      <w:tblPr>
        <w:tblStyle w:val="62"/>
        <w:tblW w:w="840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2"/>
        <w:gridCol w:w="1137"/>
        <w:gridCol w:w="1122"/>
        <w:gridCol w:w="1896"/>
        <w:gridCol w:w="1382"/>
        <w:gridCol w:w="11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3971" w:type="dxa"/>
            <w:gridSpan w:val="3"/>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输入项</w:t>
            </w:r>
          </w:p>
        </w:tc>
        <w:tc>
          <w:tcPr>
            <w:tcW w:w="4438" w:type="dxa"/>
            <w:gridSpan w:val="3"/>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物料名称</w:t>
            </w:r>
          </w:p>
        </w:tc>
        <w:tc>
          <w:tcPr>
            <w:tcW w:w="113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消耗量</w:t>
            </w:r>
            <w:r>
              <w:rPr>
                <w:rFonts w:hint="eastAsia" w:cs="Times New Roman"/>
                <w:sz w:val="21"/>
                <w:szCs w:val="21"/>
                <w:lang w:eastAsia="zh-CN"/>
              </w:rPr>
              <w:t>（</w:t>
            </w:r>
            <w:r>
              <w:rPr>
                <w:rFonts w:hint="default" w:ascii="Times New Roman" w:hAnsi="Times New Roman" w:eastAsia="宋体" w:cs="Times New Roman"/>
                <w:sz w:val="21"/>
                <w:szCs w:val="21"/>
              </w:rPr>
              <w:t>kg/t纸</w:t>
            </w:r>
            <w:r>
              <w:rPr>
                <w:rFonts w:hint="eastAsia" w:cs="Times New Roman"/>
                <w:sz w:val="21"/>
                <w:szCs w:val="21"/>
                <w:lang w:eastAsia="zh-CN"/>
              </w:rPr>
              <w:t>）</w:t>
            </w:r>
          </w:p>
        </w:tc>
        <w:tc>
          <w:tcPr>
            <w:tcW w:w="1122"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消耗量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w:t>
            </w:r>
            <w:r>
              <w:rPr>
                <w:rFonts w:hint="default" w:ascii="Times New Roman" w:hAnsi="Times New Roman" w:eastAsia="宋体" w:cs="Times New Roman"/>
                <w:sz w:val="21"/>
                <w:szCs w:val="21"/>
              </w:rPr>
              <w:t>t/a</w:t>
            </w:r>
            <w:r>
              <w:rPr>
                <w:rFonts w:hint="eastAsia" w:cs="Times New Roman"/>
                <w:sz w:val="21"/>
                <w:szCs w:val="21"/>
                <w:lang w:eastAsia="zh-CN"/>
              </w:rPr>
              <w:t>）</w:t>
            </w: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物料名称</w:t>
            </w:r>
          </w:p>
        </w:tc>
        <w:tc>
          <w:tcPr>
            <w:tcW w:w="1382"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产出量</w:t>
            </w:r>
            <w:r>
              <w:rPr>
                <w:rFonts w:hint="eastAsia" w:cs="Times New Roman"/>
                <w:sz w:val="21"/>
                <w:szCs w:val="21"/>
                <w:lang w:eastAsia="zh-CN"/>
              </w:rPr>
              <w:t>（</w:t>
            </w:r>
            <w:r>
              <w:rPr>
                <w:rFonts w:hint="default" w:ascii="Times New Roman" w:hAnsi="Times New Roman" w:eastAsia="宋体" w:cs="Times New Roman"/>
                <w:sz w:val="21"/>
                <w:szCs w:val="21"/>
              </w:rPr>
              <w:t>kg/t纸</w:t>
            </w:r>
            <w:r>
              <w:rPr>
                <w:rFonts w:hint="eastAsia" w:cs="Times New Roman"/>
                <w:sz w:val="21"/>
                <w:szCs w:val="21"/>
                <w:lang w:eastAsia="zh-CN"/>
              </w:rPr>
              <w:t>）</w:t>
            </w:r>
          </w:p>
        </w:tc>
        <w:tc>
          <w:tcPr>
            <w:tcW w:w="116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产出量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w:t>
            </w:r>
            <w:r>
              <w:rPr>
                <w:rFonts w:hint="default" w:ascii="Times New Roman" w:hAnsi="Times New Roman" w:eastAsia="宋体" w:cs="Times New Roman"/>
                <w:sz w:val="21"/>
                <w:szCs w:val="21"/>
              </w:rPr>
              <w:t>t/a</w:t>
            </w:r>
            <w:r>
              <w:rPr>
                <w:rFonts w:hint="eastAsia" w:cs="Times New Roman"/>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苇浆</w:t>
            </w:r>
          </w:p>
        </w:tc>
        <w:tc>
          <w:tcPr>
            <w:tcW w:w="1137"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947.87</w:t>
            </w:r>
          </w:p>
        </w:tc>
        <w:tc>
          <w:tcPr>
            <w:tcW w:w="1122"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7819.93</w:t>
            </w: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原纸</w:t>
            </w:r>
          </w:p>
        </w:tc>
        <w:tc>
          <w:tcPr>
            <w:tcW w:w="1382"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940</w:t>
            </w:r>
          </w:p>
        </w:tc>
        <w:tc>
          <w:tcPr>
            <w:tcW w:w="116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损纸浆</w:t>
            </w:r>
          </w:p>
        </w:tc>
        <w:tc>
          <w:tcPr>
            <w:tcW w:w="1137"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66.77</w:t>
            </w:r>
          </w:p>
        </w:tc>
        <w:tc>
          <w:tcPr>
            <w:tcW w:w="1122"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550.85</w:t>
            </w: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双网压滤白水</w:t>
            </w:r>
          </w:p>
        </w:tc>
        <w:tc>
          <w:tcPr>
            <w:tcW w:w="1382"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19.82</w:t>
            </w:r>
          </w:p>
        </w:tc>
        <w:tc>
          <w:tcPr>
            <w:tcW w:w="116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163.515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白水调浆带入</w:t>
            </w:r>
          </w:p>
        </w:tc>
        <w:tc>
          <w:tcPr>
            <w:tcW w:w="1137"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26.833</w:t>
            </w:r>
          </w:p>
        </w:tc>
        <w:tc>
          <w:tcPr>
            <w:tcW w:w="1122"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221.37</w:t>
            </w: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损纸浆</w:t>
            </w:r>
          </w:p>
        </w:tc>
        <w:tc>
          <w:tcPr>
            <w:tcW w:w="1382"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66.77</w:t>
            </w:r>
          </w:p>
        </w:tc>
        <w:tc>
          <w:tcPr>
            <w:tcW w:w="116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550.853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37"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22"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纸机白水</w:t>
            </w:r>
          </w:p>
        </w:tc>
        <w:tc>
          <w:tcPr>
            <w:tcW w:w="1382"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14.24</w:t>
            </w:r>
          </w:p>
        </w:tc>
        <w:tc>
          <w:tcPr>
            <w:tcW w:w="116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37"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22"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三段低浓除砂排渣</w:t>
            </w:r>
          </w:p>
        </w:tc>
        <w:tc>
          <w:tcPr>
            <w:tcW w:w="1382"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0.49</w:t>
            </w:r>
          </w:p>
        </w:tc>
        <w:tc>
          <w:tcPr>
            <w:tcW w:w="116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37"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22"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压力筛排渣</w:t>
            </w:r>
          </w:p>
        </w:tc>
        <w:tc>
          <w:tcPr>
            <w:tcW w:w="1382"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w:t>
            </w:r>
          </w:p>
        </w:tc>
        <w:tc>
          <w:tcPr>
            <w:tcW w:w="1160"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3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22"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纸尘</w:t>
            </w:r>
          </w:p>
        </w:tc>
        <w:tc>
          <w:tcPr>
            <w:tcW w:w="1382"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1160"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71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113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1041.473</w:t>
            </w:r>
          </w:p>
        </w:tc>
        <w:tc>
          <w:tcPr>
            <w:tcW w:w="1122"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8592.152</w:t>
            </w:r>
          </w:p>
        </w:tc>
        <w:tc>
          <w:tcPr>
            <w:tcW w:w="189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1382"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1041.473</w:t>
            </w:r>
          </w:p>
        </w:tc>
        <w:tc>
          <w:tcPr>
            <w:tcW w:w="1160"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8592.152</w:t>
            </w:r>
          </w:p>
        </w:tc>
      </w:tr>
    </w:tbl>
    <w:p>
      <w:pPr>
        <w:bidi w:val="0"/>
        <w:rPr>
          <w:rFonts w:hint="eastAsia" w:ascii="黑体" w:hAnsi="黑体" w:eastAsia="黑体" w:cs="黑体"/>
          <w:sz w:val="23"/>
          <w:szCs w:val="23"/>
          <w:lang w:eastAsia="zh-CN"/>
        </w:rPr>
      </w:pPr>
      <w:r>
        <w:rPr>
          <w:rFonts w:ascii="黑体" w:hAnsi="黑体" w:eastAsia="黑体" w:cs="黑体"/>
          <w:spacing w:val="8"/>
          <w:position w:val="2"/>
          <w:sz w:val="23"/>
          <w:szCs w:val="23"/>
        </w:rPr>
        <w:t>表</w:t>
      </w:r>
      <w:r>
        <w:rPr>
          <w:rFonts w:hint="eastAsia"/>
          <w:lang w:val="en-US" w:eastAsia="zh-CN"/>
        </w:rPr>
        <w:t>3.6</w:t>
      </w:r>
      <w:r>
        <w:rPr>
          <w:rFonts w:ascii="Times New Roman" w:hAnsi="Times New Roman" w:eastAsia="Times New Roman" w:cs="Times New Roman"/>
          <w:spacing w:val="4"/>
          <w:position w:val="2"/>
          <w:sz w:val="23"/>
          <w:szCs w:val="23"/>
        </w:rPr>
        <w:t>-2100</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position w:val="2"/>
          <w:sz w:val="23"/>
          <w:szCs w:val="23"/>
        </w:rPr>
        <w:t>d</w:t>
      </w:r>
      <w:r>
        <w:rPr>
          <w:rFonts w:ascii="黑体" w:hAnsi="黑体" w:eastAsia="黑体" w:cs="黑体"/>
          <w:spacing w:val="4"/>
          <w:position w:val="2"/>
          <w:sz w:val="23"/>
          <w:szCs w:val="23"/>
        </w:rPr>
        <w:t>造纸生产线物料平衡一览表</w:t>
      </w:r>
      <w:r>
        <w:rPr>
          <w:rFonts w:hint="eastAsia" w:ascii="黑体" w:hAnsi="黑体" w:eastAsia="黑体" w:cs="黑体"/>
          <w:spacing w:val="4"/>
          <w:position w:val="2"/>
          <w:sz w:val="23"/>
          <w:szCs w:val="23"/>
          <w:lang w:eastAsia="zh-CN"/>
        </w:rPr>
        <w:t>（</w:t>
      </w:r>
      <w:r>
        <w:rPr>
          <w:rFonts w:ascii="黑体" w:hAnsi="黑体" w:eastAsia="黑体" w:cs="黑体"/>
          <w:spacing w:val="4"/>
          <w:position w:val="2"/>
          <w:sz w:val="23"/>
          <w:szCs w:val="23"/>
        </w:rPr>
        <w:t>绝干量</w:t>
      </w:r>
      <w:r>
        <w:rPr>
          <w:rFonts w:hint="eastAsia" w:ascii="黑体" w:hAnsi="黑体" w:eastAsia="黑体" w:cs="黑体"/>
          <w:spacing w:val="4"/>
          <w:position w:val="2"/>
          <w:sz w:val="23"/>
          <w:szCs w:val="23"/>
          <w:lang w:eastAsia="zh-CN"/>
        </w:rPr>
        <w:t>）</w:t>
      </w:r>
    </w:p>
    <w:p>
      <w:pPr>
        <w:spacing w:line="152" w:lineRule="exact"/>
      </w:pPr>
    </w:p>
    <w:tbl>
      <w:tblPr>
        <w:tblStyle w:val="62"/>
        <w:tblW w:w="85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1418"/>
        <w:gridCol w:w="1416"/>
        <w:gridCol w:w="1983"/>
        <w:gridCol w:w="20"/>
        <w:gridCol w:w="1257"/>
        <w:gridCol w:w="1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3969" w:type="dxa"/>
            <w:gridSpan w:val="3"/>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输入项</w:t>
            </w:r>
          </w:p>
        </w:tc>
        <w:tc>
          <w:tcPr>
            <w:tcW w:w="4535" w:type="dxa"/>
            <w:gridSpan w:val="4"/>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输出项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135"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物料名称</w:t>
            </w:r>
          </w:p>
        </w:tc>
        <w:tc>
          <w:tcPr>
            <w:tcW w:w="1418"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消耗量</w:t>
            </w:r>
            <w:r>
              <w:rPr>
                <w:rFonts w:hint="eastAsia" w:ascii="宋体" w:hAnsi="宋体" w:cs="宋体"/>
                <w:sz w:val="21"/>
                <w:szCs w:val="21"/>
                <w:lang w:eastAsia="zh-CN"/>
              </w:rPr>
              <w:t>（</w:t>
            </w:r>
            <w:r>
              <w:rPr>
                <w:rFonts w:hint="eastAsia" w:ascii="宋体" w:hAnsi="宋体" w:eastAsia="宋体" w:cs="宋体"/>
                <w:sz w:val="21"/>
                <w:szCs w:val="21"/>
              </w:rPr>
              <w:t>kg/t纸</w:t>
            </w:r>
            <w:r>
              <w:rPr>
                <w:rFonts w:hint="eastAsia" w:ascii="宋体" w:hAnsi="宋体" w:cs="宋体"/>
                <w:sz w:val="21"/>
                <w:szCs w:val="21"/>
                <w:lang w:eastAsia="zh-CN"/>
              </w:rPr>
              <w:t>）</w:t>
            </w:r>
          </w:p>
        </w:tc>
        <w:tc>
          <w:tcPr>
            <w:tcW w:w="1416"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消耗量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eastAsia="宋体" w:cs="宋体"/>
                <w:sz w:val="21"/>
                <w:szCs w:val="21"/>
              </w:rPr>
              <w:t>t/a</w:t>
            </w:r>
            <w:r>
              <w:rPr>
                <w:rFonts w:hint="eastAsia" w:ascii="宋体" w:hAnsi="宋体" w:cs="宋体"/>
                <w:sz w:val="21"/>
                <w:szCs w:val="21"/>
                <w:lang w:eastAsia="zh-CN"/>
              </w:rPr>
              <w:t>）</w:t>
            </w:r>
          </w:p>
        </w:tc>
        <w:tc>
          <w:tcPr>
            <w:tcW w:w="1983"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物料名称</w:t>
            </w:r>
          </w:p>
        </w:tc>
        <w:tc>
          <w:tcPr>
            <w:tcW w:w="1277" w:type="dxa"/>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产出量</w:t>
            </w:r>
            <w:r>
              <w:rPr>
                <w:rFonts w:hint="eastAsia" w:ascii="宋体" w:hAnsi="宋体" w:cs="宋体"/>
                <w:sz w:val="21"/>
                <w:szCs w:val="21"/>
                <w:lang w:eastAsia="zh-CN"/>
              </w:rPr>
              <w:t>（</w:t>
            </w:r>
            <w:r>
              <w:rPr>
                <w:rFonts w:hint="eastAsia" w:ascii="宋体" w:hAnsi="宋体" w:eastAsia="宋体" w:cs="宋体"/>
                <w:sz w:val="21"/>
                <w:szCs w:val="21"/>
              </w:rPr>
              <w:t>kg/t纸</w:t>
            </w:r>
            <w:r>
              <w:rPr>
                <w:rFonts w:hint="eastAsia" w:ascii="宋体" w:hAnsi="宋体" w:cs="宋体"/>
                <w:sz w:val="21"/>
                <w:szCs w:val="21"/>
                <w:lang w:eastAsia="zh-CN"/>
              </w:rPr>
              <w:t>）</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产出量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eastAsia="宋体" w:cs="宋体"/>
                <w:sz w:val="21"/>
                <w:szCs w:val="21"/>
              </w:rPr>
              <w:t>t/a</w:t>
            </w:r>
            <w:r>
              <w:rPr>
                <w:rFonts w:hint="eastAsia" w:ascii="宋体" w:hAnsi="宋体" w:cs="宋体"/>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jc w:val="center"/>
        </w:trPr>
        <w:tc>
          <w:tcPr>
            <w:tcW w:w="113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苇浆</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701.86</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23161.38</w:t>
            </w:r>
          </w:p>
        </w:tc>
        <w:tc>
          <w:tcPr>
            <w:tcW w:w="20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原纸</w:t>
            </w:r>
          </w:p>
        </w:tc>
        <w:tc>
          <w:tcPr>
            <w:tcW w:w="12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940</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31020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113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木浆</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101.78</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3358.74</w:t>
            </w:r>
          </w:p>
        </w:tc>
        <w:tc>
          <w:tcPr>
            <w:tcW w:w="20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垫层浆白水</w:t>
            </w:r>
          </w:p>
        </w:tc>
        <w:tc>
          <w:tcPr>
            <w:tcW w:w="12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396.76</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13093.31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113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损纸浆</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67.3</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2220.9</w:t>
            </w:r>
          </w:p>
        </w:tc>
        <w:tc>
          <w:tcPr>
            <w:tcW w:w="20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损纸浆</w:t>
            </w:r>
          </w:p>
        </w:tc>
        <w:tc>
          <w:tcPr>
            <w:tcW w:w="12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67.3</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2220.9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1135"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回收浆</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557.49</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18397.17</w:t>
            </w:r>
          </w:p>
        </w:tc>
        <w:tc>
          <w:tcPr>
            <w:tcW w:w="20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纸机白水</w:t>
            </w:r>
          </w:p>
        </w:tc>
        <w:tc>
          <w:tcPr>
            <w:tcW w:w="12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23.33</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769.89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1135"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8"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6"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983"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高浓除砂排渣</w:t>
            </w:r>
          </w:p>
        </w:tc>
        <w:tc>
          <w:tcPr>
            <w:tcW w:w="1277" w:type="dxa"/>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0.05</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1135"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8"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6"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983"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三段低浓除砂排渣</w:t>
            </w:r>
          </w:p>
        </w:tc>
        <w:tc>
          <w:tcPr>
            <w:tcW w:w="1277" w:type="dxa"/>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0.83</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27.39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1135"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8"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6"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983"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压力筛排渣</w:t>
            </w:r>
          </w:p>
        </w:tc>
        <w:tc>
          <w:tcPr>
            <w:tcW w:w="1277" w:type="dxa"/>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0.003</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1135"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8"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416"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003" w:type="dxa"/>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纸尘</w:t>
            </w:r>
          </w:p>
        </w:tc>
        <w:tc>
          <w:tcPr>
            <w:tcW w:w="12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0.15</w:t>
            </w:r>
          </w:p>
        </w:tc>
        <w:tc>
          <w:tcPr>
            <w:tcW w:w="12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135"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1418"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1428.43</w:t>
            </w:r>
          </w:p>
        </w:tc>
        <w:tc>
          <w:tcPr>
            <w:tcW w:w="141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47138.19</w:t>
            </w:r>
          </w:p>
        </w:tc>
        <w:tc>
          <w:tcPr>
            <w:tcW w:w="1983"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1277"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1428.43</w:t>
            </w:r>
          </w:p>
        </w:tc>
        <w:tc>
          <w:tcPr>
            <w:tcW w:w="1275"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47138.19</w:t>
            </w:r>
          </w:p>
        </w:tc>
      </w:tr>
    </w:tbl>
    <w:p>
      <w:pPr>
        <w:pStyle w:val="4"/>
        <w:bidi w:val="0"/>
      </w:pPr>
      <w:bookmarkStart w:id="22" w:name="_Toc26915"/>
      <w:r>
        <w:rPr>
          <w:rFonts w:hint="eastAsia"/>
          <w:lang w:val="en-US" w:eastAsia="zh-CN"/>
        </w:rPr>
        <w:t>3.6</w:t>
      </w:r>
      <w:r>
        <w:t>.3浆料平衡</w:t>
      </w:r>
      <w:bookmarkEnd w:id="22"/>
    </w:p>
    <w:p>
      <w:r>
        <w:t>现有工程制浆车间设计生产本色苇浆300t/d</w:t>
      </w:r>
      <w:r>
        <w:rPr>
          <w:rFonts w:hint="eastAsia"/>
          <w:lang w:eastAsia="zh-CN"/>
        </w:rPr>
        <w:t>（</w:t>
      </w:r>
      <w:r>
        <w:t>风干浆</w:t>
      </w:r>
      <w:r>
        <w:rPr>
          <w:rFonts w:hint="eastAsia"/>
          <w:lang w:eastAsia="zh-CN"/>
        </w:rPr>
        <w:t>）</w:t>
      </w:r>
      <w:r>
        <w:t>，折合绝干浆270t/d；产品为250t/d本色苇浆板</w:t>
      </w:r>
      <w:r>
        <w:rPr>
          <w:rFonts w:hint="eastAsia"/>
          <w:lang w:eastAsia="zh-CN"/>
        </w:rPr>
        <w:t>（</w:t>
      </w:r>
      <w:r>
        <w:t>风干浆</w:t>
      </w:r>
      <w:r>
        <w:rPr>
          <w:rFonts w:hint="eastAsia"/>
          <w:lang w:eastAsia="zh-CN"/>
        </w:rPr>
        <w:t>）</w:t>
      </w:r>
      <w:r>
        <w:t>，折合绝干浆225t/d；剩余50t/d湿苇浆</w:t>
      </w:r>
      <w:r>
        <w:rPr>
          <w:rFonts w:hint="eastAsia"/>
          <w:lang w:eastAsia="zh-CN"/>
        </w:rPr>
        <w:t>（</w:t>
      </w:r>
      <w:r>
        <w:t>以风干浆计</w:t>
      </w:r>
      <w:r>
        <w:rPr>
          <w:rFonts w:hint="eastAsia"/>
          <w:lang w:eastAsia="zh-CN"/>
        </w:rPr>
        <w:t>）</w:t>
      </w:r>
      <w:r>
        <w:t>送厂区洁康达生产生活用纸项目，折合绝干浆45t/d。</w:t>
      </w:r>
    </w:p>
    <w:p>
      <w:r>
        <w:t>1#浆板机设计生产能力200t/d</w:t>
      </w:r>
      <w:r>
        <w:rPr>
          <w:rFonts w:hint="eastAsia"/>
          <w:lang w:eastAsia="zh-CN"/>
        </w:rPr>
        <w:t>（</w:t>
      </w:r>
      <w:r>
        <w:t>风干浆</w:t>
      </w:r>
      <w:r>
        <w:rPr>
          <w:rFonts w:hint="eastAsia"/>
          <w:lang w:eastAsia="zh-CN"/>
        </w:rPr>
        <w:t>）</w:t>
      </w:r>
      <w:r>
        <w:t>，2#浆板机设计生产能为100t/d</w:t>
      </w:r>
      <w:r>
        <w:rPr>
          <w:rFonts w:hint="eastAsia"/>
          <w:lang w:eastAsia="zh-CN"/>
        </w:rPr>
        <w:t>（</w:t>
      </w:r>
      <w:r>
        <w:t>风干浆</w:t>
      </w:r>
      <w:r>
        <w:rPr>
          <w:rFonts w:hint="eastAsia"/>
          <w:lang w:eastAsia="zh-CN"/>
        </w:rPr>
        <w:t>）</w:t>
      </w:r>
      <w:r>
        <w:t>，因部分湿苇浆外售洁康达，2#浆板机实际生产负荷为50%。</w:t>
      </w:r>
    </w:p>
    <w:p>
      <w:r>
        <w:t>改建项目主要原料为自产苇浆，本次关停现有工程2#浆板机，并对1#浆板机生产规模进行调整，以满足本次改建项目用浆需求，全厂用浆平衡</w:t>
      </w:r>
      <w:r>
        <w:rPr>
          <w:rFonts w:hint="eastAsia"/>
          <w:lang w:eastAsia="zh-CN"/>
        </w:rPr>
        <w:t>（</w:t>
      </w:r>
      <w:r>
        <w:t>折合绝干浆计</w:t>
      </w:r>
      <w:r>
        <w:rPr>
          <w:rFonts w:hint="eastAsia"/>
          <w:lang w:eastAsia="zh-CN"/>
        </w:rPr>
        <w:t>）</w:t>
      </w:r>
      <w:r>
        <w:t>详见表</w:t>
      </w:r>
      <w:r>
        <w:rPr>
          <w:rFonts w:hint="eastAsia"/>
          <w:lang w:val="en-US" w:eastAsia="zh-CN"/>
        </w:rPr>
        <w:t>3.6</w:t>
      </w:r>
      <w:r>
        <w:t>-3。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表</w:t>
      </w:r>
      <w:r>
        <w:rPr>
          <w:rFonts w:hint="eastAsia" w:ascii="宋体" w:hAnsi="宋体" w:cs="宋体"/>
          <w:b/>
          <w:bCs/>
          <w:sz w:val="21"/>
          <w:szCs w:val="21"/>
          <w:lang w:val="en-US" w:eastAsia="zh-CN"/>
        </w:rPr>
        <w:t>3.6</w:t>
      </w:r>
      <w:r>
        <w:rPr>
          <w:rFonts w:hint="eastAsia" w:ascii="宋体" w:hAnsi="宋体" w:eastAsia="宋体" w:cs="宋体"/>
          <w:b/>
          <w:bCs/>
          <w:sz w:val="21"/>
          <w:szCs w:val="21"/>
        </w:rPr>
        <w:t>-3全厂用浆平衡一览表</w:t>
      </w:r>
      <w:r>
        <w:rPr>
          <w:rFonts w:hint="eastAsia" w:ascii="宋体" w:hAnsi="宋体" w:cs="宋体"/>
          <w:b/>
          <w:bCs/>
          <w:sz w:val="21"/>
          <w:szCs w:val="21"/>
          <w:lang w:eastAsia="zh-CN"/>
        </w:rPr>
        <w:t>（</w:t>
      </w:r>
      <w:r>
        <w:rPr>
          <w:rFonts w:hint="eastAsia" w:ascii="宋体" w:hAnsi="宋体" w:eastAsia="宋体" w:cs="宋体"/>
          <w:b/>
          <w:bCs/>
          <w:sz w:val="21"/>
          <w:szCs w:val="21"/>
        </w:rPr>
        <w:t>绝干量</w:t>
      </w:r>
      <w:r>
        <w:rPr>
          <w:rFonts w:hint="eastAsia" w:ascii="宋体" w:hAnsi="宋体" w:cs="宋体"/>
          <w:b/>
          <w:bCs/>
          <w:sz w:val="21"/>
          <w:szCs w:val="21"/>
          <w:lang w:eastAsia="zh-CN"/>
        </w:rPr>
        <w:t>）</w:t>
      </w:r>
    </w:p>
    <w:tbl>
      <w:tblPr>
        <w:tblStyle w:val="62"/>
        <w:tblW w:w="84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8"/>
        <w:gridCol w:w="2485"/>
        <w:gridCol w:w="971"/>
        <w:gridCol w:w="2346"/>
        <w:gridCol w:w="1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148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苇浆产量</w:t>
            </w:r>
            <w:r>
              <w:rPr>
                <w:rFonts w:hint="eastAsia" w:ascii="宋体" w:hAnsi="宋体" w:cs="宋体"/>
                <w:sz w:val="21"/>
                <w:szCs w:val="21"/>
                <w:lang w:eastAsia="zh-CN"/>
              </w:rPr>
              <w:t>（</w:t>
            </w:r>
            <w:r>
              <w:rPr>
                <w:rFonts w:hint="eastAsia" w:ascii="宋体" w:hAnsi="宋体" w:eastAsia="宋体" w:cs="宋体"/>
                <w:sz w:val="21"/>
                <w:szCs w:val="21"/>
              </w:rPr>
              <w:t>t/d</w:t>
            </w:r>
            <w:r>
              <w:rPr>
                <w:rFonts w:hint="eastAsia" w:ascii="宋体" w:hAnsi="宋体" w:cs="宋体"/>
                <w:sz w:val="21"/>
                <w:szCs w:val="21"/>
                <w:lang w:eastAsia="zh-CN"/>
              </w:rPr>
              <w:t>）</w:t>
            </w:r>
          </w:p>
        </w:tc>
        <w:tc>
          <w:tcPr>
            <w:tcW w:w="3456"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现有工程用浆平衡</w:t>
            </w:r>
            <w:r>
              <w:rPr>
                <w:rFonts w:hint="eastAsia" w:ascii="宋体" w:hAnsi="宋体" w:cs="宋体"/>
                <w:sz w:val="21"/>
                <w:szCs w:val="21"/>
                <w:lang w:eastAsia="zh-CN"/>
              </w:rPr>
              <w:t>（</w:t>
            </w:r>
            <w:r>
              <w:rPr>
                <w:rFonts w:hint="eastAsia" w:ascii="宋体" w:hAnsi="宋体" w:eastAsia="宋体" w:cs="宋体"/>
                <w:sz w:val="21"/>
                <w:szCs w:val="21"/>
              </w:rPr>
              <w:t>t/d</w:t>
            </w:r>
            <w:r>
              <w:rPr>
                <w:rFonts w:hint="eastAsia" w:ascii="宋体" w:hAnsi="宋体" w:cs="宋体"/>
                <w:sz w:val="21"/>
                <w:szCs w:val="21"/>
                <w:lang w:eastAsia="zh-CN"/>
              </w:rPr>
              <w:t>）</w:t>
            </w:r>
          </w:p>
        </w:tc>
        <w:tc>
          <w:tcPr>
            <w:tcW w:w="3554" w:type="dxa"/>
            <w:gridSpan w:val="2"/>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改建后用浆平衡</w:t>
            </w:r>
            <w:r>
              <w:rPr>
                <w:rFonts w:hint="eastAsia" w:ascii="宋体" w:hAnsi="宋体" w:cs="宋体"/>
                <w:sz w:val="21"/>
                <w:szCs w:val="21"/>
                <w:lang w:eastAsia="zh-CN"/>
              </w:rPr>
              <w:t>（</w:t>
            </w:r>
            <w:r>
              <w:rPr>
                <w:rFonts w:hint="eastAsia" w:ascii="宋体" w:hAnsi="宋体" w:eastAsia="宋体" w:cs="宋体"/>
                <w:sz w:val="21"/>
                <w:szCs w:val="21"/>
              </w:rPr>
              <w:t>t/d</w:t>
            </w:r>
            <w:r>
              <w:rPr>
                <w:rFonts w:hint="eastAsia" w:ascii="宋体" w:hAnsi="宋体" w:cs="宋体"/>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1488"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270</w:t>
            </w:r>
          </w:p>
        </w:tc>
        <w:tc>
          <w:tcPr>
            <w:tcW w:w="2485"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1#浆板车间</w:t>
            </w:r>
          </w:p>
        </w:tc>
        <w:tc>
          <w:tcPr>
            <w:tcW w:w="971"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180</w:t>
            </w:r>
          </w:p>
        </w:tc>
        <w:tc>
          <w:tcPr>
            <w:tcW w:w="2346"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1#浆板车间</w:t>
            </w:r>
          </w:p>
        </w:tc>
        <w:tc>
          <w:tcPr>
            <w:tcW w:w="1208"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1311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1488"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4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2#浆板车间</w:t>
            </w:r>
          </w:p>
        </w:tc>
        <w:tc>
          <w:tcPr>
            <w:tcW w:w="9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45</w:t>
            </w:r>
          </w:p>
        </w:tc>
        <w:tc>
          <w:tcPr>
            <w:tcW w:w="23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100t/d生活用纸生产线</w:t>
            </w:r>
          </w:p>
        </w:tc>
        <w:tc>
          <w:tcPr>
            <w:tcW w:w="1208"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1488"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4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洁康达生活用纸生产线</w:t>
            </w:r>
          </w:p>
        </w:tc>
        <w:tc>
          <w:tcPr>
            <w:tcW w:w="9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45</w:t>
            </w:r>
          </w:p>
        </w:tc>
        <w:tc>
          <w:tcPr>
            <w:tcW w:w="23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25t/d生活用纸生产线</w:t>
            </w:r>
          </w:p>
        </w:tc>
        <w:tc>
          <w:tcPr>
            <w:tcW w:w="1208"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1488"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4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9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23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洁康达生活用纸生产线</w:t>
            </w:r>
          </w:p>
        </w:tc>
        <w:tc>
          <w:tcPr>
            <w:tcW w:w="1208"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488"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24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9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270</w:t>
            </w:r>
          </w:p>
        </w:tc>
        <w:tc>
          <w:tcPr>
            <w:tcW w:w="23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1208"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270</w:t>
            </w:r>
          </w:p>
        </w:tc>
      </w:tr>
    </w:tbl>
    <w:p>
      <w:pPr>
        <w:pStyle w:val="4"/>
        <w:bidi w:val="0"/>
      </w:pPr>
      <w:bookmarkStart w:id="23" w:name="_Toc13562"/>
      <w:r>
        <w:rPr>
          <w:rFonts w:hint="eastAsia"/>
          <w:lang w:val="en-US" w:eastAsia="zh-CN"/>
        </w:rPr>
        <w:t>3.6</w:t>
      </w:r>
      <w:r>
        <w:t>.4水平衡</w:t>
      </w:r>
      <w:bookmarkEnd w:id="23"/>
    </w:p>
    <w:p>
      <w:r>
        <w:t>本次改建项目水平衡详见图</w:t>
      </w:r>
      <w:r>
        <w:rPr>
          <w:rFonts w:hint="eastAsia"/>
          <w:lang w:val="en-US" w:eastAsia="zh-CN"/>
        </w:rPr>
        <w:t>3.6</w:t>
      </w:r>
      <w:r>
        <w:t>-4、改建后全厂水平衡详见图</w:t>
      </w:r>
      <w:r>
        <w:rPr>
          <w:rFonts w:hint="eastAsia"/>
          <w:lang w:val="en-US" w:eastAsia="zh-CN"/>
        </w:rPr>
        <w:t>3.6</w:t>
      </w:r>
      <w:r>
        <w:t>-5。</w:t>
      </w:r>
    </w:p>
    <w:p>
      <w:r>
        <w:drawing>
          <wp:inline distT="0" distB="0" distL="114300" distR="114300">
            <wp:extent cx="3820160" cy="2505075"/>
            <wp:effectExtent l="0" t="0" r="0" b="0"/>
            <wp:docPr id="80" name="图片 9"/>
            <wp:cNvGraphicFramePr/>
            <a:graphic xmlns:a="http://schemas.openxmlformats.org/drawingml/2006/main">
              <a:graphicData uri="http://schemas.openxmlformats.org/drawingml/2006/picture">
                <pic:pic xmlns:pic="http://schemas.openxmlformats.org/drawingml/2006/picture">
                  <pic:nvPicPr>
                    <pic:cNvPr id="80" name="图片 9"/>
                    <pic:cNvPicPr/>
                  </pic:nvPicPr>
                  <pic:blipFill>
                    <a:blip r:embed="rId17"/>
                    <a:stretch>
                      <a:fillRect/>
                    </a:stretch>
                  </pic:blipFill>
                  <pic:spPr>
                    <a:xfrm>
                      <a:off x="0" y="0"/>
                      <a:ext cx="3820160" cy="2505075"/>
                    </a:xfrm>
                    <a:prstGeom prst="rect">
                      <a:avLst/>
                    </a:prstGeom>
                    <a:noFill/>
                    <a:ln>
                      <a:noFill/>
                    </a:ln>
                  </pic:spPr>
                </pic:pic>
              </a:graphicData>
            </a:graphic>
          </wp:inline>
        </w:drawing>
      </w:r>
    </w:p>
    <w:p>
      <w:pPr>
        <w:jc w:val="center"/>
        <w:rPr>
          <w:rFonts w:hint="eastAsia" w:eastAsia="宋体"/>
          <w:lang w:eastAsia="zh-CN"/>
        </w:rPr>
      </w:pPr>
      <w:r>
        <w:rPr>
          <w:rFonts w:hint="eastAsia"/>
        </w:rPr>
        <w:t>图</w:t>
      </w:r>
      <w:r>
        <w:rPr>
          <w:rFonts w:hint="eastAsia"/>
          <w:lang w:val="en-US" w:eastAsia="zh-CN"/>
        </w:rPr>
        <w:t>3.6</w:t>
      </w:r>
      <w:r>
        <w:rPr>
          <w:rFonts w:hint="eastAsia"/>
        </w:rPr>
        <w:t>-4改建项目水平衡图</w:t>
      </w:r>
      <w:r>
        <w:rPr>
          <w:rFonts w:hint="eastAsia"/>
          <w:lang w:eastAsia="zh-CN"/>
        </w:rPr>
        <w:t>（</w:t>
      </w:r>
      <w:r>
        <w:rPr>
          <w:rFonts w:hint="eastAsia"/>
        </w:rPr>
        <w:t>t/d</w:t>
      </w:r>
      <w:r>
        <w:rPr>
          <w:rFonts w:hint="eastAsia"/>
          <w:lang w:eastAsia="zh-CN"/>
        </w:rPr>
        <w:t>）</w:t>
      </w:r>
    </w:p>
    <w:p>
      <w:pPr>
        <w:bidi w:val="0"/>
      </w:pPr>
      <w:r>
        <w:drawing>
          <wp:inline distT="0" distB="0" distL="114300" distR="114300">
            <wp:extent cx="4728845" cy="5280025"/>
            <wp:effectExtent l="0" t="0" r="5080" b="6350"/>
            <wp:docPr id="81" name="图片 10"/>
            <wp:cNvGraphicFramePr/>
            <a:graphic xmlns:a="http://schemas.openxmlformats.org/drawingml/2006/main">
              <a:graphicData uri="http://schemas.openxmlformats.org/drawingml/2006/picture">
                <pic:pic xmlns:pic="http://schemas.openxmlformats.org/drawingml/2006/picture">
                  <pic:nvPicPr>
                    <pic:cNvPr id="81" name="图片 10"/>
                    <pic:cNvPicPr/>
                  </pic:nvPicPr>
                  <pic:blipFill>
                    <a:blip r:embed="rId18"/>
                    <a:stretch>
                      <a:fillRect/>
                    </a:stretch>
                  </pic:blipFill>
                  <pic:spPr>
                    <a:xfrm>
                      <a:off x="0" y="0"/>
                      <a:ext cx="4728845" cy="5280025"/>
                    </a:xfrm>
                    <a:prstGeom prst="rect">
                      <a:avLst/>
                    </a:prstGeom>
                    <a:noFill/>
                    <a:ln>
                      <a:noFill/>
                    </a:ln>
                  </pic:spPr>
                </pic:pic>
              </a:graphicData>
            </a:graphic>
          </wp:inline>
        </w:drawing>
      </w:r>
    </w:p>
    <w:p>
      <w:pPr>
        <w:spacing w:before="270" w:line="322" w:lineRule="exact"/>
        <w:jc w:val="center"/>
        <w:rPr>
          <w:rFonts w:hint="eastAsia" w:ascii="黑体" w:hAnsi="黑体" w:eastAsia="宋体" w:cs="黑体"/>
          <w:color w:val="FF0000"/>
          <w:spacing w:val="1"/>
          <w:position w:val="1"/>
          <w:sz w:val="23"/>
          <w:szCs w:val="23"/>
          <w:lang w:eastAsia="zh-CN"/>
        </w:rPr>
      </w:pPr>
      <w:r>
        <w:rPr>
          <w:rFonts w:ascii="黑体" w:hAnsi="黑体" w:eastAsia="黑体" w:cs="黑体"/>
          <w:color w:val="auto"/>
          <w:spacing w:val="2"/>
          <w:position w:val="1"/>
          <w:sz w:val="23"/>
          <w:szCs w:val="23"/>
        </w:rPr>
        <w:t>图</w:t>
      </w:r>
      <w:r>
        <w:rPr>
          <w:rFonts w:hint="eastAsia" w:cs="Times New Roman"/>
          <w:color w:val="auto"/>
          <w:spacing w:val="2"/>
          <w:position w:val="1"/>
          <w:sz w:val="23"/>
          <w:szCs w:val="23"/>
          <w:lang w:val="en-US" w:eastAsia="zh-CN"/>
        </w:rPr>
        <w:t>3.6</w:t>
      </w:r>
      <w:r>
        <w:rPr>
          <w:rFonts w:ascii="Times New Roman" w:hAnsi="Times New Roman" w:eastAsia="Times New Roman" w:cs="Times New Roman"/>
          <w:color w:val="auto"/>
          <w:spacing w:val="2"/>
          <w:position w:val="1"/>
          <w:sz w:val="23"/>
          <w:szCs w:val="23"/>
        </w:rPr>
        <w:t>-5</w:t>
      </w:r>
      <w:r>
        <w:rPr>
          <w:rFonts w:ascii="黑体" w:hAnsi="黑体" w:eastAsia="黑体" w:cs="黑体"/>
          <w:color w:val="auto"/>
          <w:spacing w:val="2"/>
          <w:position w:val="1"/>
          <w:sz w:val="23"/>
          <w:szCs w:val="23"/>
        </w:rPr>
        <w:t>改建后全</w:t>
      </w:r>
      <w:r>
        <w:rPr>
          <w:rFonts w:ascii="黑体" w:hAnsi="黑体" w:eastAsia="黑体" w:cs="黑体"/>
          <w:color w:val="auto"/>
          <w:spacing w:val="1"/>
          <w:position w:val="1"/>
          <w:sz w:val="23"/>
          <w:szCs w:val="23"/>
        </w:rPr>
        <w:t>厂水平衡图</w:t>
      </w:r>
      <w:r>
        <w:rPr>
          <w:rFonts w:hint="eastAsia" w:ascii="黑体" w:hAnsi="黑体" w:eastAsia="黑体" w:cs="黑体"/>
          <w:color w:val="auto"/>
          <w:spacing w:val="1"/>
          <w:position w:val="1"/>
          <w:sz w:val="23"/>
          <w:szCs w:val="23"/>
          <w:lang w:eastAsia="zh-CN"/>
        </w:rPr>
        <w:t>（</w:t>
      </w:r>
      <w:r>
        <w:rPr>
          <w:rFonts w:ascii="Times New Roman" w:hAnsi="Times New Roman" w:eastAsia="Times New Roman" w:cs="Times New Roman"/>
          <w:color w:val="auto"/>
          <w:position w:val="1"/>
          <w:sz w:val="23"/>
          <w:szCs w:val="23"/>
        </w:rPr>
        <w:t>t</w:t>
      </w:r>
      <w:r>
        <w:rPr>
          <w:rFonts w:ascii="Times New Roman" w:hAnsi="Times New Roman" w:eastAsia="Times New Roman" w:cs="Times New Roman"/>
          <w:color w:val="auto"/>
          <w:spacing w:val="1"/>
          <w:position w:val="1"/>
          <w:sz w:val="23"/>
          <w:szCs w:val="23"/>
        </w:rPr>
        <w:t>/</w:t>
      </w:r>
      <w:r>
        <w:rPr>
          <w:rFonts w:ascii="Times New Roman" w:hAnsi="Times New Roman" w:eastAsia="Times New Roman" w:cs="Times New Roman"/>
          <w:color w:val="auto"/>
          <w:position w:val="1"/>
          <w:sz w:val="23"/>
          <w:szCs w:val="23"/>
        </w:rPr>
        <w:t>a</w:t>
      </w:r>
      <w:r>
        <w:rPr>
          <w:rFonts w:hint="eastAsia" w:ascii="黑体" w:hAnsi="黑体" w:eastAsia="黑体" w:cs="黑体"/>
          <w:color w:val="auto"/>
          <w:spacing w:val="1"/>
          <w:position w:val="1"/>
          <w:sz w:val="23"/>
          <w:szCs w:val="23"/>
          <w:lang w:eastAsia="zh-CN"/>
        </w:rPr>
        <w:t>）</w:t>
      </w:r>
    </w:p>
    <w:p>
      <w:pPr>
        <w:pStyle w:val="4"/>
        <w:bidi w:val="0"/>
      </w:pPr>
      <w:bookmarkStart w:id="24" w:name="_Toc14684"/>
      <w:r>
        <w:rPr>
          <w:rFonts w:hint="eastAsia"/>
          <w:lang w:val="en-US" w:eastAsia="zh-CN"/>
        </w:rPr>
        <w:t>3.6</w:t>
      </w:r>
      <w:r>
        <w:t>.5蒸汽平衡</w:t>
      </w:r>
      <w:bookmarkEnd w:id="24"/>
    </w:p>
    <w:p>
      <w:pPr>
        <w:bidi w:val="0"/>
      </w:pPr>
      <w:r>
        <w:t>本项目生产过程中所需要的蒸汽来自厂区130t/h燃煤锅炉和碱回收锅炉，以满足造纸生产需求。根据建设单位提供的资料，现有工程蒸汽量充裕，尚有较大余量，生活用纸吨纸蒸汽消耗量为2.3t，造纸车间蒸汽消耗量为288t/d，通过关停2号浆板车间，调整其他设施用汽量后，全厂改建后全厂蒸汽平衡见图4.8-6。</w:t>
      </w:r>
    </w:p>
    <w:p>
      <w:pPr>
        <w:pStyle w:val="3"/>
      </w:pPr>
    </w:p>
    <w:p>
      <w:pPr>
        <w:pStyle w:val="3"/>
      </w:pPr>
      <w:bookmarkStart w:id="25" w:name="_Toc29943"/>
      <w:r>
        <w:drawing>
          <wp:inline distT="0" distB="0" distL="114300" distR="114300">
            <wp:extent cx="5269865" cy="5511800"/>
            <wp:effectExtent l="0" t="0" r="6985" b="3175"/>
            <wp:docPr id="83" name="图片 12"/>
            <wp:cNvGraphicFramePr/>
            <a:graphic xmlns:a="http://schemas.openxmlformats.org/drawingml/2006/main">
              <a:graphicData uri="http://schemas.openxmlformats.org/drawingml/2006/picture">
                <pic:pic xmlns:pic="http://schemas.openxmlformats.org/drawingml/2006/picture">
                  <pic:nvPicPr>
                    <pic:cNvPr id="83" name="图片 12"/>
                    <pic:cNvPicPr/>
                  </pic:nvPicPr>
                  <pic:blipFill>
                    <a:blip r:embed="rId19"/>
                    <a:stretch>
                      <a:fillRect/>
                    </a:stretch>
                  </pic:blipFill>
                  <pic:spPr>
                    <a:xfrm>
                      <a:off x="0" y="0"/>
                      <a:ext cx="5269865" cy="5511800"/>
                    </a:xfrm>
                    <a:prstGeom prst="rect">
                      <a:avLst/>
                    </a:prstGeom>
                    <a:noFill/>
                    <a:ln>
                      <a:noFill/>
                    </a:ln>
                  </pic:spPr>
                </pic:pic>
              </a:graphicData>
            </a:graphic>
          </wp:inline>
        </w:drawing>
      </w:r>
      <w:bookmarkEnd w:id="25"/>
    </w:p>
    <w:p>
      <w:pPr>
        <w:pStyle w:val="3"/>
      </w:pPr>
    </w:p>
    <w:p>
      <w:pPr>
        <w:bidi w:val="0"/>
        <w:jc w:val="center"/>
        <w:rPr>
          <w:rFonts w:hint="eastAsia" w:ascii="宋体" w:hAnsi="宋体" w:eastAsia="宋体" w:cs="宋体"/>
          <w:b/>
          <w:bCs/>
          <w:lang w:eastAsia="zh-CN"/>
        </w:rPr>
      </w:pPr>
      <w:r>
        <w:rPr>
          <w:rFonts w:hint="eastAsia" w:ascii="宋体" w:hAnsi="宋体" w:eastAsia="宋体" w:cs="宋体"/>
          <w:b/>
          <w:bCs/>
        </w:rPr>
        <w:t>图</w:t>
      </w:r>
      <w:r>
        <w:rPr>
          <w:rFonts w:hint="eastAsia" w:ascii="宋体" w:hAnsi="宋体" w:cs="宋体"/>
          <w:b/>
          <w:bCs/>
          <w:lang w:val="en-US" w:eastAsia="zh-CN"/>
        </w:rPr>
        <w:t>3.6</w:t>
      </w:r>
      <w:r>
        <w:rPr>
          <w:rFonts w:hint="eastAsia" w:ascii="宋体" w:hAnsi="宋体" w:eastAsia="宋体" w:cs="宋体"/>
          <w:b/>
          <w:bCs/>
        </w:rPr>
        <w:t>-6改建后全厂蒸汽平衡图</w:t>
      </w:r>
      <w:r>
        <w:rPr>
          <w:rFonts w:hint="eastAsia" w:ascii="宋体" w:hAnsi="宋体" w:cs="宋体"/>
          <w:b/>
          <w:bCs/>
          <w:lang w:eastAsia="zh-CN"/>
        </w:rPr>
        <w:t>（</w:t>
      </w:r>
      <w:r>
        <w:rPr>
          <w:rFonts w:hint="eastAsia" w:ascii="宋体" w:hAnsi="宋体" w:eastAsia="宋体" w:cs="宋体"/>
          <w:b/>
          <w:bCs/>
        </w:rPr>
        <w:t>t/h</w:t>
      </w:r>
      <w:r>
        <w:rPr>
          <w:rFonts w:hint="eastAsia" w:ascii="宋体" w:hAnsi="宋体" w:cs="宋体"/>
          <w:b/>
          <w:bCs/>
          <w:lang w:eastAsia="zh-CN"/>
        </w:rPr>
        <w:t>）</w:t>
      </w:r>
    </w:p>
    <w:p>
      <w:pPr>
        <w:pStyle w:val="4"/>
        <w:bidi w:val="0"/>
      </w:pPr>
      <w:bookmarkStart w:id="26" w:name="_Toc9877"/>
      <w:r>
        <w:rPr>
          <w:rFonts w:hint="eastAsia"/>
          <w:lang w:val="en-US" w:eastAsia="zh-CN"/>
        </w:rPr>
        <w:t>3.7</w:t>
      </w:r>
      <w:r>
        <w:t>.1生产方法</w:t>
      </w:r>
      <w:bookmarkEnd w:id="26"/>
    </w:p>
    <w:p>
      <w:pPr>
        <w:bidi w:val="0"/>
      </w:pPr>
      <w:r>
        <w:rPr>
          <w:rFonts w:hint="eastAsia"/>
          <w:lang w:eastAsia="zh-CN"/>
        </w:rPr>
        <w:t>（</w:t>
      </w:r>
      <w:r>
        <w:t>1</w:t>
      </w:r>
      <w:r>
        <w:rPr>
          <w:rFonts w:hint="eastAsia"/>
          <w:lang w:eastAsia="zh-CN"/>
        </w:rPr>
        <w:t>）</w:t>
      </w:r>
      <w:r>
        <w:t>100t/d生活用纸生产线</w:t>
      </w:r>
    </w:p>
    <w:p>
      <w:pPr>
        <w:bidi w:val="0"/>
      </w:pPr>
      <w:r>
        <w:t>浆料制备工段配备湿苇浆、木浆和损纸浆处理三条生产线。</w:t>
      </w:r>
    </w:p>
    <w:p>
      <w:pPr>
        <w:bidi w:val="0"/>
      </w:pPr>
      <w:r>
        <w:t>100t/d造纸车间拟选用4台高速卫生纸机生产原纸，每台纸机配置有新月成型器，T型筋加强扬克烘缸和气罩。其余辅助配置有与生产能力相匹配的多盘白水回收机、化学品制备、上浆系统、真空系统、蒸汽冷凝水系统、热回收系统等生产工序，在纸机湿部设置了水雾去除系统，纸机起皱部及复卷机处设置了除尘系统。</w:t>
      </w:r>
    </w:p>
    <w:p>
      <w:pPr>
        <w:bidi w:val="0"/>
      </w:pPr>
      <w:r>
        <w:t>后加工区域的主要设备拟配置卫生纸卷筒全自动复卷打孔机、包装机和抽纸</w:t>
      </w:r>
    </w:p>
    <w:p>
      <w:pPr>
        <w:bidi w:val="0"/>
      </w:pPr>
      <w:r>
        <w:t>折叠包装生产线。</w:t>
      </w:r>
    </w:p>
    <w:p>
      <w:pPr>
        <w:bidi w:val="0"/>
      </w:pPr>
      <w:r>
        <w:rPr>
          <w:rFonts w:hint="eastAsia"/>
          <w:lang w:eastAsia="zh-CN"/>
        </w:rPr>
        <w:t>（</w:t>
      </w:r>
      <w:r>
        <w:t>2</w:t>
      </w:r>
      <w:r>
        <w:rPr>
          <w:rFonts w:hint="eastAsia"/>
          <w:lang w:eastAsia="zh-CN"/>
        </w:rPr>
        <w:t>）</w:t>
      </w:r>
      <w:r>
        <w:t>25t/d生活用纸生产线</w:t>
      </w:r>
    </w:p>
    <w:p>
      <w:pPr>
        <w:bidi w:val="0"/>
      </w:pPr>
      <w:r>
        <w:t>本生产线浆料在现有制浆车间内新建湿苇浆配备生产线，部分设施利旧。</w:t>
      </w:r>
    </w:p>
    <w:p>
      <w:pPr>
        <w:bidi w:val="0"/>
      </w:pPr>
      <w:r>
        <w:t>250t/d造纸车间拟选用1台高速卫生纸机生产原纸，纸机配置有新月成型器，T型筋加强扬克烘缸和气罩。其余辅助配置有与生产能力相匹配的化学品制备、上浆系统、真空系统、蒸汽冷凝水系统、热回收系统等生产工序，在纸机湿部设置了水雾去除系统，纸机起皱部及复卷机处设置了除尘系统。</w:t>
      </w:r>
    </w:p>
    <w:p>
      <w:pPr>
        <w:pStyle w:val="4"/>
        <w:bidi w:val="0"/>
      </w:pPr>
      <w:bookmarkStart w:id="27" w:name="_Toc26715"/>
      <w:r>
        <w:rPr>
          <w:rFonts w:hint="eastAsia"/>
          <w:lang w:val="en-US" w:eastAsia="zh-CN"/>
        </w:rPr>
        <w:t>3.7</w:t>
      </w:r>
      <w:r>
        <w:t>.2工艺流程简介</w:t>
      </w:r>
      <w:bookmarkEnd w:id="27"/>
    </w:p>
    <w:p>
      <w:pPr>
        <w:bidi w:val="0"/>
      </w:pPr>
      <w:r>
        <w:t>本项目采用现有制浆工程生产的本色苇浆</w:t>
      </w:r>
      <w:r>
        <w:rPr>
          <w:rFonts w:hint="eastAsia"/>
          <w:lang w:eastAsia="zh-CN"/>
        </w:rPr>
        <w:t>（</w:t>
      </w:r>
      <w:r>
        <w:t>化学制浆全无氯漂白</w:t>
      </w:r>
      <w:r>
        <w:rPr>
          <w:rFonts w:hint="eastAsia"/>
          <w:lang w:eastAsia="zh-CN"/>
        </w:rPr>
        <w:t>）</w:t>
      </w:r>
      <w:r>
        <w:t>，生产生活用纸，生产工艺采用成熟的宽幅、高速造纸技术，生产过程低能耗、少污染。配套完善的白水回收利用系统及余热回收系统，造纸过程节能、节水、降耗。造纸不使用甲醛、苯类和苯酚类等化学原料。国内生活用纸纸浆多采用木浆，使用非木浆</w:t>
      </w:r>
      <w:r>
        <w:rPr>
          <w:rFonts w:hint="eastAsia"/>
          <w:lang w:eastAsia="zh-CN"/>
        </w:rPr>
        <w:t>（</w:t>
      </w:r>
      <w:r>
        <w:t>苇浆</w:t>
      </w:r>
      <w:r>
        <w:rPr>
          <w:rFonts w:hint="eastAsia"/>
          <w:lang w:eastAsia="zh-CN"/>
        </w:rPr>
        <w:t>）</w:t>
      </w:r>
      <w:r>
        <w:t>较少，本次改建通过对纤维磨浆工艺的优化，可提高纤维分丝帚化及润胀性能，进而使得非木纤维原料可以适用于国内先进的新月形卫生纸机。</w:t>
      </w:r>
    </w:p>
    <w:p>
      <w:pPr>
        <w:pStyle w:val="4"/>
        <w:bidi w:val="0"/>
      </w:pPr>
      <w:bookmarkStart w:id="28" w:name="_Toc21338"/>
      <w:r>
        <w:rPr>
          <w:rFonts w:hint="eastAsia"/>
          <w:lang w:val="en-US" w:eastAsia="zh-CN"/>
        </w:rPr>
        <w:t>3.7</w:t>
      </w:r>
      <w:r>
        <w:t>.2.1100t/d生活用纸生产线</w:t>
      </w:r>
      <w:bookmarkEnd w:id="28"/>
    </w:p>
    <w:p>
      <w:pPr>
        <w:bidi w:val="0"/>
      </w:pPr>
      <w:r>
        <w:t>a.备浆工段</w:t>
      </w:r>
    </w:p>
    <w:p>
      <w:pPr>
        <w:bidi w:val="0"/>
      </w:pPr>
      <w:r>
        <w:t>苇浆处理生产线：制浆车间的苇浆泵送到卸料浆塔，稀释至1.6%浓度送三段低浓除砂器除砂净化，净化后送盘式浓缩机浓缩至2.3%后送苇浆叩前池，通过双网盘式浓缩机浓缩脱水至4%，然后进入高浓磨打浆系统，稀释之后和木浆、回收浆、损纸浆一并进入配浆池混合，后进入匀整磨打浆，成浆送至抄纸工段抄前池。</w:t>
      </w:r>
    </w:p>
    <w:p>
      <w:pPr>
        <w:bidi w:val="0"/>
      </w:pPr>
      <w:r>
        <w:t>木浆处理生产线：木浆浆板由水力碎浆机碎解为4.5%浓度，然后送高浓除砂器除砂净化，净化后进入双盘磨串联打浆，成浆后送至配浆池与苇浆混合，后</w:t>
      </w:r>
    </w:p>
    <w:p>
      <w:pPr>
        <w:bidi w:val="0"/>
      </w:pPr>
      <w:r>
        <w:t>进入匀整磨打浆，成浆送至抄纸工段抄前池。</w:t>
      </w:r>
    </w:p>
    <w:p>
      <w:pPr>
        <w:bidi w:val="0"/>
      </w:pPr>
      <w:r>
        <w:t>损纸处理生产线：损纸由损纸碎浆机碎解为4.0%浓度，损纸浆经泵送至损纸浆池贮存，后送至配浆池与苇浆混合，后进入匀整磨打浆，成浆送至抄纸工段</w:t>
      </w:r>
    </w:p>
    <w:p>
      <w:pPr>
        <w:bidi w:val="0"/>
      </w:pPr>
      <w:r>
        <w:t>抄前池。</w:t>
      </w:r>
    </w:p>
    <w:p>
      <w:pPr>
        <w:bidi w:val="0"/>
      </w:pPr>
      <w:r>
        <w:t>b.抄纸工段</w:t>
      </w:r>
    </w:p>
    <w:p>
      <w:pPr>
        <w:bidi w:val="0"/>
      </w:pPr>
      <w:r>
        <w:t>配浆、流送系统：从备浆工段送来的苇浆和木浆进入纸机抄前池，然后经冲浆泵稀释后进入压力筛，筛选均匀的良浆送入纸机流浆箱。</w:t>
      </w:r>
    </w:p>
    <w:p>
      <w:pPr>
        <w:bidi w:val="0"/>
      </w:pPr>
      <w:r>
        <w:t>由流浆箱出来的浆料经过成形、压榨、干燥、起皱后在卷纸机上卷取，在复卷机上复卷，再经薄膜缠绕包装后，由输送带送至纸卷成品库贮存或送纸品加工车间。</w:t>
      </w:r>
    </w:p>
    <w:p>
      <w:pPr>
        <w:bidi w:val="0"/>
      </w:pPr>
      <w:r>
        <w:t>真空系统：真空压榨辊各真空点来的气水混合物经气水分离后，气体经透平风机、消音器排入大气，白水用泵送入白水池。</w:t>
      </w:r>
    </w:p>
    <w:p>
      <w:pPr>
        <w:bidi w:val="0"/>
      </w:pPr>
      <w:r>
        <w:t>清水、白水系统：设清水和白水系统，清水系统由清水池、清水泵、密封水泵、中压和高压清水泵、清水过滤器等组成。白水系统由机下白水池、多盘纤维回收机及白水泵等组成。</w:t>
      </w:r>
    </w:p>
    <w:p>
      <w:pPr>
        <w:bidi w:val="0"/>
      </w:pPr>
      <w:r>
        <w:t>蒸汽冷凝水系统：生活用纸纸机扬克烘缸蒸汽冷凝水系统采用热泵系统，充分利用二次蒸汽，节约新鲜蒸汽用量，汽水分离器收集的冷凝水送动力车间回用，冷凝器热水进入温水池。</w:t>
      </w:r>
    </w:p>
    <w:p>
      <w:pPr>
        <w:bidi w:val="0"/>
      </w:pPr>
      <w:r>
        <w:t>化学药品制备系统：化学药品制备包括分散剂系统、湿强剂、杀菌剂、洗网剂、洗毯剂、扬克缸喷涂剂等化学药品的配置和计量等设备。</w:t>
      </w:r>
    </w:p>
    <w:p>
      <w:pPr>
        <w:bidi w:val="0"/>
      </w:pPr>
      <w:r>
        <w:t>压缩空气系统：空气经螺杆压缩机→除油器→冷冻式干燥机→分配罐后，大部分进入生产用储气罐，另一部分则进入高效除油器，经无热再生干燥器，进入</w:t>
      </w:r>
    </w:p>
    <w:p>
      <w:pPr>
        <w:bidi w:val="0"/>
      </w:pPr>
      <w:r>
        <w:t>仪表用储气罐。压缩空气站置于造纸车间内。</w:t>
      </w:r>
    </w:p>
    <w:p>
      <w:pPr>
        <w:pStyle w:val="3"/>
      </w:pPr>
      <w:bookmarkStart w:id="29" w:name="_Toc9431"/>
      <w:r>
        <w:drawing>
          <wp:inline distT="0" distB="0" distL="114300" distR="114300">
            <wp:extent cx="4977130" cy="6999605"/>
            <wp:effectExtent l="0" t="0" r="4445" b="1270"/>
            <wp:docPr id="85" name="图片 14"/>
            <wp:cNvGraphicFramePr/>
            <a:graphic xmlns:a="http://schemas.openxmlformats.org/drawingml/2006/main">
              <a:graphicData uri="http://schemas.openxmlformats.org/drawingml/2006/picture">
                <pic:pic xmlns:pic="http://schemas.openxmlformats.org/drawingml/2006/picture">
                  <pic:nvPicPr>
                    <pic:cNvPr id="85" name="图片 14"/>
                    <pic:cNvPicPr/>
                  </pic:nvPicPr>
                  <pic:blipFill>
                    <a:blip r:embed="rId20"/>
                    <a:stretch>
                      <a:fillRect/>
                    </a:stretch>
                  </pic:blipFill>
                  <pic:spPr>
                    <a:xfrm>
                      <a:off x="0" y="0"/>
                      <a:ext cx="4977130" cy="6999605"/>
                    </a:xfrm>
                    <a:prstGeom prst="rect">
                      <a:avLst/>
                    </a:prstGeom>
                    <a:noFill/>
                    <a:ln>
                      <a:noFill/>
                    </a:ln>
                  </pic:spPr>
                </pic:pic>
              </a:graphicData>
            </a:graphic>
          </wp:inline>
        </w:drawing>
      </w:r>
      <w:bookmarkEnd w:id="29"/>
    </w:p>
    <w:p>
      <w:pPr>
        <w:pStyle w:val="3"/>
      </w:pPr>
    </w:p>
    <w:p>
      <w:pPr>
        <w:bidi w:val="0"/>
        <w:jc w:val="center"/>
      </w:pPr>
      <w:r>
        <w:rPr>
          <w:b/>
          <w:bCs/>
          <w:sz w:val="21"/>
          <w:szCs w:val="21"/>
        </w:rPr>
        <w:t>图</w:t>
      </w:r>
      <w:r>
        <w:rPr>
          <w:rFonts w:hint="eastAsia"/>
          <w:b/>
          <w:bCs/>
          <w:sz w:val="21"/>
          <w:szCs w:val="21"/>
          <w:lang w:val="en-US" w:eastAsia="zh-CN"/>
        </w:rPr>
        <w:t>3.7</w:t>
      </w:r>
      <w:r>
        <w:rPr>
          <w:b/>
          <w:bCs/>
          <w:sz w:val="21"/>
          <w:szCs w:val="21"/>
        </w:rPr>
        <w:t>-1100t/d生活用纸生产线原纸生产工艺流程图及产污环节图</w:t>
      </w:r>
    </w:p>
    <w:p>
      <w:pPr>
        <w:bidi w:val="0"/>
      </w:pPr>
      <w:r>
        <w:t>c.后加工工段</w:t>
      </w:r>
    </w:p>
    <w:p>
      <w:pPr>
        <w:bidi w:val="0"/>
      </w:pPr>
      <w:r>
        <w:t>复卷后的纸卷一部分直接送到成品库进行储存，另外一部分经链板输送机直接送到不同的加工设备。</w:t>
      </w:r>
    </w:p>
    <w:p>
      <w:pPr>
        <w:bidi w:val="0"/>
      </w:pPr>
      <w:r>
        <w:t>①卷筒卫生纸</w:t>
      </w:r>
    </w:p>
    <w:p>
      <w:pPr>
        <w:bidi w:val="0"/>
      </w:pPr>
      <w:r>
        <w:t>卷筒卫生纸由卷筒纸复卷机加工而成，经过开卷送料、压花、打分节孔、复卷成小卷、纸尾粘胶、整卷分切、储存等工序，成为单个成品纸卷。单个成品再经过分配输送系统进入单包机，完成单个纸卷的包装和喷码，进入装袋机或中包机，最终包装好的成品送成品库储存。</w:t>
      </w:r>
    </w:p>
    <w:p>
      <w:pPr>
        <w:bidi w:val="0"/>
      </w:pPr>
      <w:r>
        <w:drawing>
          <wp:inline distT="0" distB="0" distL="114300" distR="114300">
            <wp:extent cx="5636895" cy="1063625"/>
            <wp:effectExtent l="0" t="0" r="1905" b="3175"/>
            <wp:docPr id="88" name="图片 17"/>
            <wp:cNvGraphicFramePr/>
            <a:graphic xmlns:a="http://schemas.openxmlformats.org/drawingml/2006/main">
              <a:graphicData uri="http://schemas.openxmlformats.org/drawingml/2006/picture">
                <pic:pic xmlns:pic="http://schemas.openxmlformats.org/drawingml/2006/picture">
                  <pic:nvPicPr>
                    <pic:cNvPr id="88" name="图片 17"/>
                    <pic:cNvPicPr/>
                  </pic:nvPicPr>
                  <pic:blipFill>
                    <a:blip r:embed="rId21"/>
                    <a:stretch>
                      <a:fillRect/>
                    </a:stretch>
                  </pic:blipFill>
                  <pic:spPr>
                    <a:xfrm>
                      <a:off x="0" y="0"/>
                      <a:ext cx="5636895" cy="1063625"/>
                    </a:xfrm>
                    <a:prstGeom prst="rect">
                      <a:avLst/>
                    </a:prstGeom>
                    <a:noFill/>
                    <a:ln>
                      <a:noFill/>
                    </a:ln>
                  </pic:spPr>
                </pic:pic>
              </a:graphicData>
            </a:graphic>
          </wp:inline>
        </w:drawing>
      </w:r>
    </w:p>
    <w:p>
      <w:pPr>
        <w:pStyle w:val="3"/>
      </w:pPr>
    </w:p>
    <w:p>
      <w:pPr>
        <w:pStyle w:val="3"/>
      </w:pPr>
    </w:p>
    <w:p>
      <w:pPr>
        <w:bidi w:val="0"/>
      </w:pPr>
      <w:r>
        <w:t>图</w:t>
      </w:r>
      <w:r>
        <w:rPr>
          <w:rFonts w:hint="eastAsia"/>
          <w:lang w:val="en-US" w:eastAsia="zh-CN"/>
        </w:rPr>
        <w:t>3.7</w:t>
      </w:r>
      <w:r>
        <w:t>-2卫生纸后加工工艺流程图</w:t>
      </w:r>
    </w:p>
    <w:p>
      <w:pPr>
        <w:bidi w:val="0"/>
      </w:pPr>
      <w:r>
        <w:t>②抽纸</w:t>
      </w:r>
    </w:p>
    <w:p>
      <w:pPr>
        <w:bidi w:val="0"/>
      </w:pPr>
      <w:r>
        <w:t>抽纸原纸卷经压花后，再进行横向和纵向分切，然后经折叠后，再进行封装、</w:t>
      </w:r>
    </w:p>
    <w:p>
      <w:pPr>
        <w:bidi w:val="0"/>
      </w:pPr>
      <w:r>
        <w:t>装箱，送入成品库。</w:t>
      </w:r>
    </w:p>
    <w:p>
      <w:pPr>
        <w:bidi w:val="0"/>
      </w:pPr>
      <w:r>
        <w:drawing>
          <wp:inline distT="0" distB="0" distL="114300" distR="114300">
            <wp:extent cx="4987925" cy="1071245"/>
            <wp:effectExtent l="0" t="0" r="3175" b="5080"/>
            <wp:docPr id="89" name="图片 18"/>
            <wp:cNvGraphicFramePr/>
            <a:graphic xmlns:a="http://schemas.openxmlformats.org/drawingml/2006/main">
              <a:graphicData uri="http://schemas.openxmlformats.org/drawingml/2006/picture">
                <pic:pic xmlns:pic="http://schemas.openxmlformats.org/drawingml/2006/picture">
                  <pic:nvPicPr>
                    <pic:cNvPr id="89" name="图片 18"/>
                    <pic:cNvPicPr/>
                  </pic:nvPicPr>
                  <pic:blipFill>
                    <a:blip r:embed="rId22"/>
                    <a:stretch>
                      <a:fillRect/>
                    </a:stretch>
                  </pic:blipFill>
                  <pic:spPr>
                    <a:xfrm>
                      <a:off x="0" y="0"/>
                      <a:ext cx="4987925" cy="1071245"/>
                    </a:xfrm>
                    <a:prstGeom prst="rect">
                      <a:avLst/>
                    </a:prstGeom>
                    <a:noFill/>
                    <a:ln>
                      <a:noFill/>
                    </a:ln>
                  </pic:spPr>
                </pic:pic>
              </a:graphicData>
            </a:graphic>
          </wp:inline>
        </w:drawing>
      </w:r>
    </w:p>
    <w:p>
      <w:pPr>
        <w:bidi w:val="0"/>
        <w:jc w:val="center"/>
        <w:rPr>
          <w:b/>
          <w:bCs/>
        </w:rPr>
      </w:pPr>
      <w:r>
        <w:rPr>
          <w:b/>
          <w:bCs/>
        </w:rPr>
        <w:t>图</w:t>
      </w:r>
      <w:r>
        <w:rPr>
          <w:rFonts w:hint="eastAsia"/>
          <w:b/>
          <w:bCs/>
          <w:lang w:val="en-US" w:eastAsia="zh-CN"/>
        </w:rPr>
        <w:t>3.7</w:t>
      </w:r>
      <w:r>
        <w:rPr>
          <w:b/>
          <w:bCs/>
        </w:rPr>
        <w:t>-3抽纸后加工工艺流程图</w:t>
      </w:r>
    </w:p>
    <w:p>
      <w:pPr>
        <w:bidi w:val="0"/>
      </w:pPr>
    </w:p>
    <w:p>
      <w:pPr>
        <w:pStyle w:val="4"/>
        <w:bidi w:val="0"/>
      </w:pPr>
      <w:bookmarkStart w:id="30" w:name="_Toc20132"/>
      <w:r>
        <w:rPr>
          <w:rFonts w:hint="eastAsia"/>
          <w:lang w:val="en-US" w:eastAsia="zh-CN"/>
        </w:rPr>
        <w:t>3.7</w:t>
      </w:r>
      <w:r>
        <w:t>.2.225t/d生活用纸生产线</w:t>
      </w:r>
      <w:bookmarkEnd w:id="30"/>
    </w:p>
    <w:p>
      <w:pPr>
        <w:bidi w:val="0"/>
      </w:pPr>
      <w:r>
        <w:t>a.备浆工段</w:t>
      </w:r>
    </w:p>
    <w:p>
      <w:pPr>
        <w:bidi w:val="0"/>
      </w:pPr>
      <w:r>
        <w:t>本生产线浆料不在造纸车间，利用制浆车间现有设施，新建湿苇浆配备生产线。</w:t>
      </w:r>
    </w:p>
    <w:p>
      <w:pPr>
        <w:bidi w:val="0"/>
      </w:pPr>
      <w:r>
        <w:t>苇浆处理生产线：制浆车间的苇浆泵送到卸料浆塔，通过双网挤浆机脱水后进入高浓磨打浆，打浆浓度20%左右，之后进入消潜池，稀释后进入双盘磨串联打浆，成浆送至抄前池。</w:t>
      </w:r>
    </w:p>
    <w:p>
      <w:pPr>
        <w:bidi w:val="0"/>
      </w:pPr>
      <w:r>
        <w:t>损纸处理生产线：损纸由损纸碎浆机碎解为4.0%浓度，损纸浆经泵送至损纸浆池贮存，后送至配浆池与苇浆混合，后进入匀整磨打浆，成浆送至抄纸工段</w:t>
      </w:r>
    </w:p>
    <w:p>
      <w:pPr>
        <w:bidi w:val="0"/>
      </w:pPr>
      <w:r>
        <w:t>抄前池。</w:t>
      </w:r>
    </w:p>
    <w:p>
      <w:pPr>
        <w:bidi w:val="0"/>
      </w:pPr>
      <w:r>
        <w:t>b.抄纸工段</w:t>
      </w:r>
    </w:p>
    <w:p>
      <w:pPr>
        <w:bidi w:val="0"/>
      </w:pPr>
      <w:r>
        <w:t>配浆、流送系统：从备浆工段送来的苇浆进入纸机抄前池，稀释至1.6%浓度送三段低浓除砂器除砂净化后经冲浆泵稀释后进入压力筛，筛选均匀的良浆送入纸机流浆箱。</w:t>
      </w:r>
    </w:p>
    <w:p>
      <w:pPr>
        <w:bidi w:val="0"/>
      </w:pPr>
      <w:r>
        <w:t>由流浆箱出来的浆料经过成形、压榨、干燥、起皱后在卷纸机上卷取，在复卷机上复卷，再经薄膜缠绕包装后，由输送带送至纸卷成品库贮存或送纸品加工车间。</w:t>
      </w:r>
    </w:p>
    <w:p>
      <w:pPr>
        <w:bidi w:val="0"/>
      </w:pPr>
      <w:r>
        <w:t>真空系统：真空压榨辊各真空点来的气水混合物经气水分离后，气体经透平风机、消音器排入大气，白水用泵送入白水池。</w:t>
      </w:r>
    </w:p>
    <w:p>
      <w:pPr>
        <w:bidi w:val="0"/>
      </w:pPr>
      <w:r>
        <w:t>清水、白水系统：设清水和白水系统，清水系统由清水池、清水泵、密封水泵、中压和高压清水泵、清水过滤器等组成。白水系统由机下白水池、多盘纤维回收机及白水泵等组成。</w:t>
      </w:r>
    </w:p>
    <w:p>
      <w:pPr>
        <w:bidi w:val="0"/>
      </w:pPr>
      <w:r>
        <w:t>蒸汽冷凝水系统：生活用纸纸机扬克烘缸蒸汽冷凝水系统采用热泵系统，充分利用二次蒸汽，节约新鲜蒸汽用量，汽水分离器收集的冷凝水送动力车间回用，冷凝器热水进入温水池。</w:t>
      </w:r>
    </w:p>
    <w:p>
      <w:pPr>
        <w:bidi w:val="0"/>
      </w:pPr>
      <w:r>
        <w:t>化学药品制备系统：化学药品制备包括分散剂系统、湿强剂、杀菌剂、洗网剂、洗毯剂、扬克缸喷涂剂等化学药品的配置和计量等设备。</w:t>
      </w:r>
    </w:p>
    <w:p>
      <w:pPr>
        <w:bidi w:val="0"/>
      </w:pPr>
      <w:r>
        <w:t>压缩空气系统：空气经螺杆压缩机→除油器→冷冻式干燥机→分配罐后，大部分进入生产用储气罐，另一部分则进入高效除油器，经无热再生干燥器，进入仪表用储气罐。压缩空气站置于造纸车间内。</w:t>
      </w:r>
    </w:p>
    <w:p>
      <w:pPr>
        <w:bidi w:val="0"/>
      </w:pPr>
    </w:p>
    <w:p>
      <w:pPr>
        <w:pStyle w:val="3"/>
        <w:rPr>
          <w:rFonts w:hint="eastAsia"/>
        </w:rPr>
      </w:pPr>
    </w:p>
    <w:p>
      <w:pPr>
        <w:pStyle w:val="3"/>
        <w:rPr>
          <w:rFonts w:hint="eastAsia"/>
        </w:rPr>
      </w:pPr>
    </w:p>
    <w:p>
      <w:pPr>
        <w:pStyle w:val="3"/>
      </w:pPr>
    </w:p>
    <w:p/>
    <w:p>
      <w:pPr>
        <w:pStyle w:val="3"/>
      </w:pPr>
    </w:p>
    <w:p/>
    <w:p>
      <w:pPr>
        <w:bidi w:val="0"/>
      </w:pPr>
      <w:r>
        <w:drawing>
          <wp:inline distT="0" distB="0" distL="114300" distR="114300">
            <wp:extent cx="5269865" cy="8213725"/>
            <wp:effectExtent l="0" t="0" r="0" b="6350"/>
            <wp:docPr id="90" name="图片 19"/>
            <wp:cNvGraphicFramePr/>
            <a:graphic xmlns:a="http://schemas.openxmlformats.org/drawingml/2006/main">
              <a:graphicData uri="http://schemas.openxmlformats.org/drawingml/2006/picture">
                <pic:pic xmlns:pic="http://schemas.openxmlformats.org/drawingml/2006/picture">
                  <pic:nvPicPr>
                    <pic:cNvPr id="90" name="图片 19"/>
                    <pic:cNvPicPr/>
                  </pic:nvPicPr>
                  <pic:blipFill>
                    <a:blip r:embed="rId23"/>
                    <a:stretch>
                      <a:fillRect/>
                    </a:stretch>
                  </pic:blipFill>
                  <pic:spPr>
                    <a:xfrm>
                      <a:off x="0" y="0"/>
                      <a:ext cx="5269865" cy="8213725"/>
                    </a:xfrm>
                    <a:prstGeom prst="rect">
                      <a:avLst/>
                    </a:prstGeom>
                    <a:noFill/>
                    <a:ln>
                      <a:noFill/>
                    </a:ln>
                  </pic:spPr>
                </pic:pic>
              </a:graphicData>
            </a:graphic>
          </wp:inline>
        </w:drawing>
      </w:r>
    </w:p>
    <w:p>
      <w:pPr>
        <w:spacing w:before="267" w:line="323" w:lineRule="exact"/>
        <w:jc w:val="center"/>
        <w:rPr>
          <w:rFonts w:hint="eastAsia" w:ascii="宋体" w:hAnsi="宋体" w:eastAsia="宋体" w:cs="宋体"/>
          <w:b/>
          <w:bCs/>
          <w:sz w:val="21"/>
          <w:szCs w:val="21"/>
        </w:rPr>
      </w:pPr>
      <w:r>
        <w:rPr>
          <w:rFonts w:hint="eastAsia" w:ascii="宋体" w:hAnsi="宋体" w:eastAsia="宋体" w:cs="宋体"/>
          <w:b/>
          <w:bCs/>
          <w:spacing w:val="6"/>
          <w:position w:val="2"/>
          <w:sz w:val="21"/>
          <w:szCs w:val="21"/>
        </w:rPr>
        <w:t>图</w:t>
      </w:r>
      <w:r>
        <w:rPr>
          <w:rFonts w:hint="eastAsia" w:ascii="宋体" w:hAnsi="宋体" w:cs="宋体"/>
          <w:b/>
          <w:bCs/>
          <w:spacing w:val="6"/>
          <w:position w:val="2"/>
          <w:sz w:val="21"/>
          <w:szCs w:val="21"/>
          <w:lang w:val="en-US" w:eastAsia="zh-CN"/>
        </w:rPr>
        <w:t>3.7</w:t>
      </w:r>
      <w:r>
        <w:rPr>
          <w:rFonts w:hint="eastAsia" w:ascii="宋体" w:hAnsi="宋体" w:eastAsia="宋体" w:cs="宋体"/>
          <w:b/>
          <w:bCs/>
          <w:spacing w:val="6"/>
          <w:position w:val="2"/>
          <w:sz w:val="21"/>
          <w:szCs w:val="21"/>
        </w:rPr>
        <w:t>-4</w:t>
      </w:r>
      <w:r>
        <w:rPr>
          <w:rFonts w:hint="eastAsia" w:ascii="宋体" w:hAnsi="宋体" w:eastAsia="宋体" w:cs="宋体"/>
          <w:b/>
          <w:bCs/>
          <w:spacing w:val="3"/>
          <w:position w:val="2"/>
          <w:sz w:val="21"/>
          <w:szCs w:val="21"/>
        </w:rPr>
        <w:t>25</w:t>
      </w:r>
      <w:r>
        <w:rPr>
          <w:rFonts w:hint="eastAsia" w:ascii="宋体" w:hAnsi="宋体" w:eastAsia="宋体" w:cs="宋体"/>
          <w:b/>
          <w:bCs/>
          <w:position w:val="2"/>
          <w:sz w:val="21"/>
          <w:szCs w:val="21"/>
        </w:rPr>
        <w:t>t</w:t>
      </w:r>
      <w:r>
        <w:rPr>
          <w:rFonts w:hint="eastAsia" w:ascii="宋体" w:hAnsi="宋体" w:eastAsia="宋体" w:cs="宋体"/>
          <w:b/>
          <w:bCs/>
          <w:spacing w:val="3"/>
          <w:position w:val="2"/>
          <w:sz w:val="21"/>
          <w:szCs w:val="21"/>
        </w:rPr>
        <w:t>/</w:t>
      </w:r>
      <w:r>
        <w:rPr>
          <w:rFonts w:hint="eastAsia" w:ascii="宋体" w:hAnsi="宋体" w:eastAsia="宋体" w:cs="宋体"/>
          <w:b/>
          <w:bCs/>
          <w:position w:val="2"/>
          <w:sz w:val="21"/>
          <w:szCs w:val="21"/>
        </w:rPr>
        <w:t>d</w:t>
      </w:r>
      <w:r>
        <w:rPr>
          <w:rFonts w:hint="eastAsia" w:ascii="宋体" w:hAnsi="宋体" w:eastAsia="宋体" w:cs="宋体"/>
          <w:b/>
          <w:bCs/>
          <w:spacing w:val="3"/>
          <w:position w:val="2"/>
          <w:sz w:val="21"/>
          <w:szCs w:val="21"/>
        </w:rPr>
        <w:t>生活用纸生产线原纸生产工艺流程及产污环节图</w:t>
      </w:r>
    </w:p>
    <w:bookmarkEnd w:id="15"/>
    <w:p>
      <w:pPr>
        <w:pStyle w:val="3"/>
      </w:pPr>
      <w:bookmarkStart w:id="31" w:name="_Toc13666"/>
      <w:r>
        <w:rPr>
          <w:rFonts w:hint="eastAsia"/>
        </w:rPr>
        <w:t>3.</w:t>
      </w:r>
      <w:r>
        <w:rPr>
          <w:rFonts w:hint="eastAsia"/>
          <w:lang w:val="en-US" w:eastAsia="zh-CN"/>
        </w:rPr>
        <w:t>8</w:t>
      </w:r>
      <w:r>
        <w:rPr>
          <w:rFonts w:hint="eastAsia"/>
        </w:rPr>
        <w:t>项目变动情况</w:t>
      </w:r>
      <w:bookmarkEnd w:id="31"/>
    </w:p>
    <w:p>
      <w:pPr>
        <w:ind w:firstLine="0" w:firstLineChars="0"/>
        <w:rPr>
          <w:rFonts w:cs="Times New Roman"/>
        </w:rPr>
      </w:pPr>
      <w:r>
        <w:rPr>
          <w:rFonts w:hint="eastAsia" w:cs="Times New Roman"/>
        </w:rPr>
        <w:t>根据现场调查，本项目在建设中发生的变动如下：</w:t>
      </w:r>
    </w:p>
    <w:p>
      <w:pPr>
        <w:autoSpaceDE w:val="0"/>
        <w:autoSpaceDN w:val="0"/>
        <w:adjustRightInd w:val="0"/>
        <w:snapToGrid w:val="0"/>
        <w:spacing w:line="520" w:lineRule="exact"/>
        <w:ind w:firstLine="480" w:firstLineChars="200"/>
        <w:rPr>
          <w:rFonts w:hint="eastAsia"/>
          <w:szCs w:val="28"/>
        </w:rPr>
      </w:pPr>
      <w:r>
        <w:rPr>
          <w:rFonts w:hint="eastAsia" w:ascii="Times New Roman" w:hAnsi="Times New Roman" w:eastAsia="宋体" w:cs="Times New Roman"/>
          <w:sz w:val="24"/>
          <w:szCs w:val="24"/>
          <w:lang w:eastAsia="zh-CN"/>
        </w:rPr>
        <w:t>本项目经现场调查，</w:t>
      </w:r>
      <w:r>
        <w:rPr>
          <w:rFonts w:hint="eastAsia" w:cs="Times New Roman"/>
          <w:sz w:val="24"/>
          <w:szCs w:val="24"/>
          <w:lang w:eastAsia="zh-CN"/>
        </w:rPr>
        <w:t>新疆中泰兴苇生物科技有限公司日产125吨生活用纸产品升级改造项目</w:t>
      </w:r>
      <w:r>
        <w:rPr>
          <w:szCs w:val="28"/>
        </w:rPr>
        <w:t>的性质、建设地点、生产工艺及污染防治措施没有发生重大变动。生产废水去向、锅炉烟气处理工艺虽有所变化，但都较环评阶段更加合理、严格，可以做到达标排放，目前建设的环保设施能够满足主体工程需要</w:t>
      </w:r>
      <w:r>
        <w:rPr>
          <w:rFonts w:hint="eastAsia"/>
          <w:szCs w:val="28"/>
        </w:rPr>
        <w:t>。</w:t>
      </w:r>
      <w:r>
        <w:rPr>
          <w:bCs/>
          <w:szCs w:val="28"/>
        </w:rPr>
        <w:t>对照</w:t>
      </w:r>
      <w:r>
        <w:rPr>
          <w:rFonts w:hint="eastAsia"/>
          <w:bCs/>
          <w:szCs w:val="28"/>
        </w:rPr>
        <w:t>《制浆造纸建设项目重大变动清单</w:t>
      </w:r>
      <w:r>
        <w:rPr>
          <w:rFonts w:hint="eastAsia"/>
          <w:bCs/>
          <w:szCs w:val="28"/>
          <w:lang w:eastAsia="zh-CN"/>
        </w:rPr>
        <w:t>（</w:t>
      </w:r>
      <w:r>
        <w:rPr>
          <w:rFonts w:hint="eastAsia"/>
          <w:bCs/>
          <w:szCs w:val="28"/>
        </w:rPr>
        <w:t>试行）》</w:t>
      </w:r>
      <w:r>
        <w:rPr>
          <w:rFonts w:hint="eastAsia"/>
          <w:bCs/>
          <w:szCs w:val="28"/>
          <w:lang w:eastAsia="zh-CN"/>
        </w:rPr>
        <w:t>（</w:t>
      </w:r>
      <w:r>
        <w:rPr>
          <w:rFonts w:hint="eastAsia"/>
          <w:bCs/>
          <w:szCs w:val="28"/>
        </w:rPr>
        <w:t>环办环评[2018]6号），不属</w:t>
      </w:r>
      <w:r>
        <w:rPr>
          <w:bCs/>
          <w:szCs w:val="28"/>
        </w:rPr>
        <w:t>重大变动。</w:t>
      </w:r>
      <w:r>
        <w:rPr>
          <w:rFonts w:hint="eastAsia"/>
          <w:szCs w:val="28"/>
        </w:rPr>
        <w:t>根据《建设项目竣工环境保护验收暂行办法》，该项目不构成重大变更。</w:t>
      </w:r>
    </w:p>
    <w:p>
      <w:pPr>
        <w:pStyle w:val="2"/>
        <w:bidi w:val="0"/>
      </w:pPr>
      <w:bookmarkStart w:id="32" w:name="_Toc22501"/>
      <w:r>
        <w:t>4.环境保护设施</w:t>
      </w:r>
      <w:bookmarkEnd w:id="32"/>
    </w:p>
    <w:p>
      <w:pPr>
        <w:pStyle w:val="3"/>
        <w:bidi w:val="0"/>
      </w:pPr>
      <w:bookmarkStart w:id="33" w:name="_Toc8860"/>
      <w:r>
        <w:t>4.1污染物及其防治措施</w:t>
      </w:r>
      <w:bookmarkEnd w:id="33"/>
    </w:p>
    <w:p>
      <w:pPr>
        <w:pStyle w:val="4"/>
        <w:bidi w:val="0"/>
      </w:pPr>
      <w:bookmarkStart w:id="34" w:name="_Toc18536"/>
      <w:r>
        <w:t>4.1.1废水</w:t>
      </w:r>
      <w:bookmarkEnd w:id="34"/>
    </w:p>
    <w:p>
      <w:pPr>
        <w:numPr>
          <w:ilvl w:val="0"/>
          <w:numId w:val="3"/>
        </w:numPr>
        <w:bidi w:val="0"/>
        <w:ind w:left="760" w:leftChars="0" w:firstLineChars="0"/>
        <w:rPr>
          <w:rFonts w:hint="eastAsia"/>
          <w:lang w:val="en-US" w:eastAsia="zh-CN"/>
        </w:rPr>
      </w:pPr>
      <w:bookmarkStart w:id="35" w:name="_Hlk19702650"/>
      <w:r>
        <w:rPr>
          <w:rFonts w:hint="eastAsia"/>
          <w:lang w:val="en-US" w:eastAsia="zh-CN"/>
        </w:rPr>
        <w:t>生产废水</w:t>
      </w:r>
    </w:p>
    <w:p>
      <w:pPr>
        <w:bidi w:val="0"/>
      </w:pPr>
      <w:r>
        <w:t>本项目废水主要为造纸白水、真空泵水封废水、烘缸蒸汽冷凝水。</w:t>
      </w:r>
    </w:p>
    <w:p>
      <w:pPr>
        <w:bidi w:val="0"/>
        <w:rPr>
          <w:lang w:val="en-US" w:eastAsia="zh-CN"/>
        </w:rPr>
      </w:pPr>
      <w:r>
        <w:rPr>
          <w:lang w:val="en-US" w:eastAsia="zh-CN"/>
        </w:rPr>
        <w:t>①造纸白水</w:t>
      </w:r>
    </w:p>
    <w:p>
      <w:pPr>
        <w:bidi w:val="0"/>
        <w:rPr>
          <w:lang w:val="en-US" w:eastAsia="zh-CN"/>
        </w:rPr>
      </w:pPr>
      <w:r>
        <w:rPr>
          <w:lang w:val="en-US" w:eastAsia="zh-CN"/>
        </w:rPr>
        <w:t>造纸白水主要来源于备浆浓缩白水、垫浆层白水、纸机网部成型白水，绝大部分可以回用。浓白水、稀白水分别收集。浓白水全部用于造纸系统调浆，不外排。稀白水一部分直接回用到碎浆、调浆工序，其余白水送白水回收系统处理。</w:t>
      </w:r>
    </w:p>
    <w:p>
      <w:pPr>
        <w:pStyle w:val="3"/>
        <w:rPr>
          <w:rFonts w:ascii="Times New Roman" w:hAnsi="Times New Roman" w:eastAsia="宋体" w:cs="Times New Roman"/>
          <w:b w:val="0"/>
          <w:bCs w:val="0"/>
          <w:kern w:val="2"/>
          <w:sz w:val="24"/>
          <w:szCs w:val="24"/>
          <w:lang w:val="en-US" w:eastAsia="zh-CN" w:bidi="ar-SA"/>
        </w:rPr>
      </w:pPr>
      <w:bookmarkStart w:id="36" w:name="_Toc12061"/>
      <w:r>
        <w:rPr>
          <w:rFonts w:ascii="Times New Roman" w:hAnsi="Times New Roman" w:eastAsia="宋体" w:cs="Times New Roman"/>
          <w:b w:val="0"/>
          <w:bCs w:val="0"/>
          <w:kern w:val="2"/>
          <w:sz w:val="24"/>
          <w:szCs w:val="24"/>
          <w:lang w:val="en-US" w:eastAsia="zh-CN" w:bidi="ar-SA"/>
        </w:rPr>
        <w:t>本项目进入白水回收系统的白水量为5851.43m</w:t>
      </w:r>
      <w:r>
        <w:rPr>
          <w:rFonts w:ascii="Times New Roman" w:hAnsi="Times New Roman" w:eastAsia="宋体" w:cs="Times New Roman"/>
          <w:b w:val="0"/>
          <w:bCs w:val="0"/>
          <w:kern w:val="2"/>
          <w:sz w:val="24"/>
          <w:szCs w:val="24"/>
          <w:vertAlign w:val="superscript"/>
          <w:lang w:val="en-US" w:eastAsia="zh-CN" w:bidi="ar-SA"/>
        </w:rPr>
        <w:t>3</w:t>
      </w:r>
      <w:r>
        <w:rPr>
          <w:rFonts w:ascii="Times New Roman" w:hAnsi="Times New Roman" w:eastAsia="宋体" w:cs="Times New Roman"/>
          <w:b w:val="0"/>
          <w:bCs w:val="0"/>
          <w:kern w:val="2"/>
          <w:sz w:val="24"/>
          <w:szCs w:val="24"/>
          <w:lang w:val="en-US" w:eastAsia="zh-CN" w:bidi="ar-SA"/>
        </w:rPr>
        <w:t>/d，全部回用。</w:t>
      </w:r>
      <w:bookmarkEnd w:id="36"/>
    </w:p>
    <w:p>
      <w:pPr>
        <w:bidi w:val="0"/>
        <w:rPr>
          <w:lang w:val="en-US" w:eastAsia="zh-CN"/>
        </w:rPr>
      </w:pPr>
      <w:r>
        <w:rPr>
          <w:lang w:val="en-US" w:eastAsia="zh-CN"/>
        </w:rPr>
        <w:t>浓白水：浆料进入卸料浆塔，经盘式浓缩机浓缩提高浆料浓度，该过程中产生的浓白水直接用于三段除砂系统系统和木浆浆料调浓。长纤维垫浆层白水为浓白水，进入白水回收系统处理。</w:t>
      </w:r>
    </w:p>
    <w:p>
      <w:pPr>
        <w:bidi w:val="0"/>
        <w:rPr>
          <w:rFonts w:ascii="Times New Roman" w:hAnsi="Times New Roman" w:eastAsia="宋体" w:cs="Times New Roman"/>
          <w:b w:val="0"/>
          <w:bCs w:val="0"/>
          <w:kern w:val="2"/>
          <w:szCs w:val="24"/>
          <w:lang w:val="en-US" w:eastAsia="zh-CN" w:bidi="ar-SA"/>
        </w:rPr>
      </w:pPr>
      <w:r>
        <w:rPr>
          <w:lang w:val="en-US" w:eastAsia="zh-CN"/>
        </w:rPr>
        <w:t>稀白水：浆料进入新月形成型器成型后进入压榨部，成型和压榨过程中均会产生白水。此外在设备网部需定期清洗，清洗时产生过程也会产生稀白水。稀白水经多圆盘白水过滤机回收处理后，分为超清白水、清白水和浊白水，超清白水送回造纸机用于喷网等，清白水、浓白水用于各生产系统浓度调节、稀释或在白水回收系统内部循环使用，回收浆</w:t>
      </w:r>
      <w:r>
        <w:rPr>
          <w:rFonts w:hint="eastAsia"/>
          <w:lang w:val="en-US" w:eastAsia="zh-CN"/>
        </w:rPr>
        <w:t>（</w:t>
      </w:r>
      <w:r>
        <w:rPr>
          <w:lang w:val="en-US" w:eastAsia="zh-CN"/>
        </w:rPr>
        <w:t>回收纤维</w:t>
      </w:r>
      <w:r>
        <w:rPr>
          <w:rFonts w:hint="eastAsia"/>
          <w:lang w:val="en-US" w:eastAsia="zh-CN"/>
        </w:rPr>
        <w:t>）</w:t>
      </w:r>
      <w:r>
        <w:rPr>
          <w:lang w:val="en-US" w:eastAsia="zh-CN"/>
        </w:rPr>
        <w:t>送配浆系统。</w:t>
      </w:r>
    </w:p>
    <w:p>
      <w:pPr>
        <w:bidi w:val="0"/>
        <w:rPr>
          <w:lang w:val="en-US" w:eastAsia="zh-CN"/>
        </w:rPr>
      </w:pPr>
      <w:r>
        <w:rPr>
          <w:lang w:val="en-US" w:eastAsia="zh-CN"/>
        </w:rPr>
        <w:t>③真空泵水封水</w:t>
      </w:r>
    </w:p>
    <w:p>
      <w:pPr>
        <w:bidi w:val="0"/>
        <w:rPr>
          <w:lang w:val="en-US" w:eastAsia="zh-CN"/>
        </w:rPr>
      </w:pPr>
      <w:r>
        <w:rPr>
          <w:lang w:val="en-US" w:eastAsia="zh-CN"/>
        </w:rPr>
        <w:t>纸机真空泵水封水需要无腐蚀的密封水。真空泵密封水循环使用，定期排放，浓白水：浆料进入卸料浆塔，经盘式浓缩机浓缩提高浆料浓度，该过程中产生的浓白水直接用于三段除砂系统系统和木浆浆料调浓。长纤维垫浆层白水为浓白水，进入白水回收系统处理。</w:t>
      </w:r>
    </w:p>
    <w:p>
      <w:pPr>
        <w:bidi w:val="0"/>
        <w:rPr>
          <w:lang w:val="en-US" w:eastAsia="zh-CN"/>
        </w:rPr>
      </w:pPr>
      <w:r>
        <w:rPr>
          <w:lang w:val="en-US" w:eastAsia="zh-CN"/>
        </w:rPr>
        <w:t>稀白水：浆料进入新月形成型器成型后进入压榨部，成型和压榨过程中均会产生白水。此外在设备网部需定期清洗，清洗时产生过程也会产生稀白水。稀白水经多圆盘白水过滤机回收处理后，分为超清白水、清白水和浊白水，超清白水送回造纸机用于喷网等，清白水、浓白水用于各生产系统浓度调节、稀释或在白水回收系统内部循环使用，回收浆</w:t>
      </w:r>
      <w:r>
        <w:rPr>
          <w:rFonts w:hint="eastAsia"/>
          <w:lang w:val="en-US" w:eastAsia="zh-CN"/>
        </w:rPr>
        <w:t>（</w:t>
      </w:r>
      <w:r>
        <w:rPr>
          <w:lang w:val="en-US" w:eastAsia="zh-CN"/>
        </w:rPr>
        <w:t>回收纤维</w:t>
      </w:r>
      <w:r>
        <w:rPr>
          <w:rFonts w:hint="eastAsia"/>
          <w:lang w:val="en-US" w:eastAsia="zh-CN"/>
        </w:rPr>
        <w:t>）</w:t>
      </w:r>
      <w:r>
        <w:rPr>
          <w:lang w:val="en-US" w:eastAsia="zh-CN"/>
        </w:rPr>
        <w:t>送配浆系统。</w:t>
      </w:r>
    </w:p>
    <w:p>
      <w:pPr>
        <w:bidi w:val="0"/>
        <w:rPr>
          <w:lang w:val="en-US" w:eastAsia="zh-CN"/>
        </w:rPr>
      </w:pPr>
      <w:r>
        <w:rPr>
          <w:lang w:val="en-US" w:eastAsia="zh-CN"/>
        </w:rPr>
        <w:t>主要污染物为石油类，真空泵水封排放量约24m3/d，送入厂区现有污水站处理达标后排入纺织服装城污水处理厂。后期待库尔勒经济技术开发区日处理10万方污水处理厂项目</w:t>
      </w:r>
      <w:r>
        <w:rPr>
          <w:rFonts w:hint="eastAsia"/>
          <w:lang w:val="en-US" w:eastAsia="zh-CN"/>
        </w:rPr>
        <w:t>（</w:t>
      </w:r>
      <w:r>
        <w:rPr>
          <w:lang w:val="en-US" w:eastAsia="zh-CN"/>
        </w:rPr>
        <w:t>一期5万方及其配套设施</w:t>
      </w:r>
      <w:r>
        <w:rPr>
          <w:rFonts w:hint="eastAsia"/>
          <w:lang w:val="en-US" w:eastAsia="zh-CN"/>
        </w:rPr>
        <w:t>）</w:t>
      </w:r>
      <w:r>
        <w:rPr>
          <w:lang w:val="en-US" w:eastAsia="zh-CN"/>
        </w:rPr>
        <w:t>建成后，全厂废水排至该污水处理厂处理。</w:t>
      </w:r>
    </w:p>
    <w:p>
      <w:pPr>
        <w:bidi w:val="0"/>
        <w:rPr>
          <w:lang w:val="en-US" w:eastAsia="zh-CN"/>
        </w:rPr>
      </w:pPr>
      <w:r>
        <w:rPr>
          <w:rFonts w:hint="eastAsia"/>
          <w:lang w:val="en-US" w:eastAsia="zh-CN"/>
        </w:rPr>
        <w:t>（</w:t>
      </w:r>
      <w:r>
        <w:rPr>
          <w:lang w:val="en-US" w:eastAsia="zh-CN"/>
        </w:rPr>
        <w:t>2</w:t>
      </w:r>
      <w:r>
        <w:rPr>
          <w:rFonts w:hint="eastAsia"/>
          <w:lang w:val="en-US" w:eastAsia="zh-CN"/>
        </w:rPr>
        <w:t>）</w:t>
      </w:r>
      <w:r>
        <w:rPr>
          <w:lang w:val="en-US" w:eastAsia="zh-CN"/>
        </w:rPr>
        <w:t>生活废水</w:t>
      </w:r>
    </w:p>
    <w:p>
      <w:pPr>
        <w:bidi w:val="0"/>
        <w:rPr>
          <w:lang w:val="en-US" w:eastAsia="zh-CN"/>
        </w:rPr>
      </w:pPr>
      <w:r>
        <w:rPr>
          <w:lang w:val="en-US" w:eastAsia="zh-CN"/>
        </w:rPr>
        <w:t>本项目新增职工135人，用水量按100L/人·d，排放系数0.85计，新增生活污水量约11.475m³/d。生活污水经厂内化粪池处理后排入园区污水管网。</w:t>
      </w:r>
    </w:p>
    <w:bookmarkEnd w:id="35"/>
    <w:p>
      <w:pPr>
        <w:pStyle w:val="4"/>
        <w:bidi w:val="0"/>
      </w:pPr>
      <w:bookmarkStart w:id="37" w:name="_Toc18915011"/>
      <w:bookmarkStart w:id="38" w:name="_Toc10337"/>
      <w:bookmarkStart w:id="39" w:name="_Toc29919"/>
      <w:r>
        <w:rPr>
          <w:rFonts w:hint="eastAsia"/>
        </w:rPr>
        <w:t>4</w:t>
      </w:r>
      <w:r>
        <w:t>.1.2</w:t>
      </w:r>
      <w:bookmarkEnd w:id="37"/>
      <w:r>
        <w:t>废气</w:t>
      </w:r>
      <w:bookmarkEnd w:id="38"/>
      <w:bookmarkEnd w:id="39"/>
    </w:p>
    <w:p>
      <w:pPr>
        <w:bidi w:val="0"/>
      </w:pPr>
      <w:r>
        <w:t>项目运行过程中主要产生的废气主要有：纸页起皱时纸机干燥部产生的含尘废气；纸张复卷、分切过程中产生的含尘废气；后加工工段分切时产生的含尘废气；纸机干燥部湿热气体。</w:t>
      </w:r>
    </w:p>
    <w:p>
      <w:pPr>
        <w:bidi w:val="0"/>
      </w:pPr>
      <w:r>
        <w:rPr>
          <w:rFonts w:hint="eastAsia"/>
          <w:lang w:eastAsia="zh-CN"/>
        </w:rPr>
        <w:t>（</w:t>
      </w:r>
      <w:r>
        <w:rPr>
          <w:rFonts w:hint="eastAsia"/>
          <w:lang w:val="en-US" w:eastAsia="zh-CN"/>
        </w:rPr>
        <w:t>1</w:t>
      </w:r>
      <w:r>
        <w:rPr>
          <w:rFonts w:hint="eastAsia"/>
          <w:lang w:eastAsia="zh-CN"/>
        </w:rPr>
        <w:t>）</w:t>
      </w:r>
      <w:r>
        <w:t>干燥部废气主要污染物为颗粒物，每台纸机干燥部设有集尘罩吸附含尘废气，粉尘收集率90%</w:t>
      </w:r>
      <w:r>
        <w:rPr>
          <w:rFonts w:hint="eastAsia"/>
          <w:lang w:eastAsia="zh-CN"/>
        </w:rPr>
        <w:t>（</w:t>
      </w:r>
      <w:r>
        <w:t>即10%作为无组织排放</w:t>
      </w:r>
      <w:r>
        <w:rPr>
          <w:rFonts w:hint="eastAsia"/>
          <w:lang w:eastAsia="zh-CN"/>
        </w:rPr>
        <w:t>）</w:t>
      </w:r>
      <w:r>
        <w:t>，该部分粉尘通过抽风系统抽入纸机干燥部除尘系统</w:t>
      </w:r>
      <w:r>
        <w:rPr>
          <w:rFonts w:hint="eastAsia"/>
          <w:lang w:val="en-US" w:eastAsia="zh-CN"/>
        </w:rPr>
        <w:t>经布袋除尘器处理，</w:t>
      </w:r>
      <w:r>
        <w:t>回收纸尘进入损纸处理系统，除尘后废气经车间顶部排气筒</w:t>
      </w:r>
      <w:r>
        <w:rPr>
          <w:rFonts w:hint="eastAsia"/>
          <w:lang w:eastAsia="zh-CN"/>
        </w:rPr>
        <w:t>（</w:t>
      </w:r>
      <w:r>
        <w:t>15m</w:t>
      </w:r>
      <w:r>
        <w:rPr>
          <w:rFonts w:hint="eastAsia"/>
          <w:lang w:eastAsia="zh-CN"/>
        </w:rPr>
        <w:t>）</w:t>
      </w:r>
      <w:r>
        <w:t>排出。</w:t>
      </w:r>
    </w:p>
    <w:p>
      <w:pPr>
        <w:bidi w:val="0"/>
      </w:pPr>
      <w:r>
        <w:rPr>
          <w:rFonts w:hint="eastAsia"/>
          <w:lang w:val="en-US" w:eastAsia="zh-CN"/>
        </w:rPr>
        <w:t>（2）</w:t>
      </w:r>
      <w:r>
        <w:t>复卷、分切含尘废气</w:t>
      </w:r>
      <w:r>
        <w:rPr>
          <w:rFonts w:hint="eastAsia"/>
          <w:lang w:val="en-US" w:eastAsia="zh-CN"/>
        </w:rPr>
        <w:t>：</w:t>
      </w:r>
      <w:r>
        <w:t>纸机系统在复卷、分切过程中，圆盘刀切纸会产生部分纤维粉尘。同纸机干燥部除尘系统一样，</w:t>
      </w:r>
      <w:r>
        <w:rPr>
          <w:rFonts w:hint="eastAsia"/>
          <w:lang w:val="en-US" w:eastAsia="zh-CN"/>
        </w:rPr>
        <w:t>运营期</w:t>
      </w:r>
      <w:r>
        <w:t>设集尘罩吸附复卷分切含尘废气，收集后的废气通过袋式除尘进行除尘后通过造纸车间顶部的排气筒外排</w:t>
      </w:r>
      <w:r>
        <w:rPr>
          <w:rFonts w:hint="eastAsia"/>
          <w:lang w:eastAsia="zh-CN"/>
        </w:rPr>
        <w:t>（</w:t>
      </w:r>
      <w:r>
        <w:t>15m</w:t>
      </w:r>
      <w:r>
        <w:rPr>
          <w:rFonts w:hint="eastAsia"/>
          <w:lang w:eastAsia="zh-CN"/>
        </w:rPr>
        <w:t>），</w:t>
      </w:r>
      <w:r>
        <w:t>回收的纸尘进入损纸处理系统。</w:t>
      </w:r>
    </w:p>
    <w:p>
      <w:pPr>
        <w:bidi w:val="0"/>
        <w:ind w:left="0" w:leftChars="0" w:firstLine="480" w:firstLineChars="200"/>
        <w:rPr>
          <w:rFonts w:hint="default"/>
          <w:lang w:val="en-US" w:eastAsia="zh-CN"/>
        </w:rPr>
      </w:pPr>
      <w:r>
        <w:rPr>
          <w:rFonts w:hint="eastAsia"/>
          <w:lang w:val="en-US" w:eastAsia="zh-CN"/>
        </w:rPr>
        <w:t>（3）</w:t>
      </w:r>
      <w:r>
        <w:t>后加工工序含尘废气</w:t>
      </w:r>
      <w:r>
        <w:rPr>
          <w:rFonts w:hint="eastAsia"/>
          <w:lang w:eastAsia="zh-CN"/>
        </w:rPr>
        <w:t>：</w:t>
      </w:r>
      <w:r>
        <w:t>原纸在后加工分切工序产生少量的纸尘，</w:t>
      </w:r>
      <w:r>
        <w:rPr>
          <w:rFonts w:hint="eastAsia"/>
          <w:lang w:val="en-US" w:eastAsia="zh-CN"/>
        </w:rPr>
        <w:t>该项目在后加工工段设计吸尘罩对含尘气体进行捕集后经布袋除尘器处理后经15m高排气筒排放。</w:t>
      </w:r>
    </w:p>
    <w:p>
      <w:pPr>
        <w:bidi w:val="0"/>
        <w:ind w:left="0" w:leftChars="0" w:firstLine="480" w:firstLineChars="200"/>
        <w:rPr>
          <w:rFonts w:hint="default" w:eastAsia="宋体"/>
          <w:lang w:val="en-US" w:eastAsia="zh-CN"/>
        </w:rPr>
      </w:pPr>
      <w:r>
        <w:rPr>
          <w:rFonts w:hint="eastAsia"/>
          <w:lang w:val="en-US" w:eastAsia="zh-CN"/>
        </w:rPr>
        <w:t>（4）</w:t>
      </w:r>
      <w:r>
        <w:t>纸机干燥部湿热气体</w:t>
      </w:r>
      <w:r>
        <w:rPr>
          <w:rFonts w:hint="eastAsia"/>
          <w:lang w:eastAsia="zh-CN"/>
        </w:rPr>
        <w:t>：</w:t>
      </w:r>
      <w:r>
        <w:t>本项目造纸车间干燥部产生湿热废气，是纸张干燥的水蒸汽，蒸汽的主要成分为水，此外，还夹带着极微的纤维</w:t>
      </w:r>
      <w:r>
        <w:rPr>
          <w:rFonts w:hint="eastAsia"/>
          <w:lang w:eastAsia="zh-CN"/>
        </w:rPr>
        <w:t>（</w:t>
      </w:r>
      <w:r>
        <w:t>纸浆</w:t>
      </w:r>
      <w:r>
        <w:rPr>
          <w:rFonts w:hint="eastAsia"/>
          <w:lang w:eastAsia="zh-CN"/>
        </w:rPr>
        <w:t>）</w:t>
      </w:r>
      <w:r>
        <w:t>气味。经热回收后的湿热气体温度低于60℃，造纸机设备自带集气罩，湿热废气经集气罩收集后，由轴流风机抽出车间经屋顶排气装置直接排空。</w:t>
      </w:r>
    </w:p>
    <w:p>
      <w:pPr>
        <w:pStyle w:val="4"/>
        <w:bidi w:val="0"/>
      </w:pPr>
      <w:bookmarkStart w:id="40" w:name="_Toc31062"/>
      <w:bookmarkStart w:id="41" w:name="_Toc28521"/>
      <w:r>
        <w:rPr>
          <w:rFonts w:hint="eastAsia"/>
        </w:rPr>
        <w:t>4.1.3噪声</w:t>
      </w:r>
      <w:bookmarkEnd w:id="40"/>
      <w:bookmarkEnd w:id="41"/>
    </w:p>
    <w:p>
      <w:pPr>
        <w:bidi w:val="0"/>
        <w:rPr>
          <w:rFonts w:hint="eastAsia"/>
          <w:lang w:val="zh-CN"/>
        </w:rPr>
      </w:pPr>
      <w:r>
        <w:rPr>
          <w:lang w:val="zh-CN"/>
        </w:rPr>
        <w:t>项目建成运行后，噪声源主要有碎浆机、空压机、磨浆机、纸机、复卷机、各类泵等，通过选用低噪声设备、设置独立减振基础、对双盘磨等高噪声设备设置隔离间、真空泵房设置消音池等措施降低噪声</w:t>
      </w:r>
      <w:r>
        <w:rPr>
          <w:rFonts w:hint="eastAsia"/>
          <w:lang w:val="zh-CN"/>
        </w:rPr>
        <w:t>后，噪声对环境影响不大。</w:t>
      </w:r>
      <w:bookmarkStart w:id="42" w:name="_Toc4586"/>
    </w:p>
    <w:p>
      <w:pPr>
        <w:pStyle w:val="4"/>
        <w:bidi w:val="0"/>
      </w:pPr>
      <w:bookmarkStart w:id="43" w:name="_Toc12297"/>
      <w:r>
        <w:rPr>
          <w:rFonts w:hint="eastAsia"/>
        </w:rPr>
        <w:t>4.1.4固废</w:t>
      </w:r>
      <w:bookmarkEnd w:id="42"/>
      <w:bookmarkEnd w:id="43"/>
    </w:p>
    <w:p>
      <w:pPr>
        <w:pStyle w:val="43"/>
        <w:numPr>
          <w:ilvl w:val="0"/>
          <w:numId w:val="4"/>
        </w:numPr>
        <w:ind w:left="-240" w:leftChars="0" w:firstLine="480" w:firstLineChars="0"/>
        <w:rPr>
          <w:rFonts w:hint="eastAsia" w:cs="Times New Roman"/>
          <w:lang w:val="en-US" w:eastAsia="zh-CN"/>
        </w:rPr>
      </w:pPr>
      <w:r>
        <w:rPr>
          <w:rFonts w:hint="eastAsia" w:cs="Times New Roman"/>
          <w:lang w:val="en-US" w:eastAsia="zh-CN"/>
        </w:rPr>
        <w:t>一般工业固体废物</w:t>
      </w:r>
    </w:p>
    <w:p>
      <w:pPr>
        <w:bidi w:val="0"/>
        <w:rPr>
          <w:rFonts w:hint="eastAsia"/>
        </w:rPr>
      </w:pPr>
      <w:r>
        <w:rPr>
          <w:rFonts w:hint="eastAsia"/>
        </w:rPr>
        <w:t>本项目生活用纸属于机制纸，产生的固废主要为浆渣、损纸、废毛布、废聚酯膜；白水回收系统回收纤维；机械维护产生的废油、废油桶；员工生活垃圾。</w:t>
      </w:r>
    </w:p>
    <w:p>
      <w:pPr>
        <w:bidi w:val="0"/>
        <w:rPr>
          <w:rFonts w:hint="eastAsia"/>
          <w:lang w:val="en-US" w:eastAsia="zh-CN"/>
        </w:rPr>
      </w:pPr>
      <w:r>
        <w:rPr>
          <w:rFonts w:hint="eastAsia"/>
          <w:lang w:val="en-US" w:eastAsia="zh-CN"/>
        </w:rPr>
        <w:t>浆渣：主要是生产中</w:t>
      </w:r>
      <w:r>
        <w:rPr>
          <w:rFonts w:hint="eastAsia"/>
        </w:rPr>
        <w:t>除渣器及压力筛排渣</w:t>
      </w:r>
      <w:r>
        <w:rPr>
          <w:rFonts w:hint="eastAsia"/>
          <w:lang w:eastAsia="zh-CN"/>
        </w:rPr>
        <w:t>，</w:t>
      </w:r>
      <w:r>
        <w:rPr>
          <w:rFonts w:hint="eastAsia"/>
          <w:lang w:val="en-US" w:eastAsia="zh-CN"/>
        </w:rPr>
        <w:t>收集后全部外售；</w:t>
      </w:r>
    </w:p>
    <w:p>
      <w:pPr>
        <w:bidi w:val="0"/>
        <w:rPr>
          <w:rFonts w:hint="eastAsia"/>
        </w:rPr>
      </w:pPr>
      <w:r>
        <w:rPr>
          <w:rFonts w:hint="eastAsia"/>
          <w:lang w:val="en-US" w:eastAsia="zh-CN"/>
        </w:rPr>
        <w:t>损纸：</w:t>
      </w:r>
      <w:r>
        <w:rPr>
          <w:rFonts w:hint="eastAsia"/>
        </w:rPr>
        <w:t>损纸产生于抄纸过程中成型、卷取分切以及后加工等工序，产生量约为产品量的7%，返回损纸处理生产线处理后送抄纸工段配浆</w:t>
      </w:r>
      <w:r>
        <w:rPr>
          <w:rFonts w:hint="eastAsia"/>
          <w:lang w:val="en-US" w:eastAsia="zh-CN"/>
        </w:rPr>
        <w:t>不外排</w:t>
      </w:r>
      <w:r>
        <w:rPr>
          <w:rFonts w:hint="eastAsia"/>
        </w:rPr>
        <w:t>。</w:t>
      </w:r>
    </w:p>
    <w:p>
      <w:pPr>
        <w:bidi w:val="0"/>
        <w:rPr>
          <w:rFonts w:hint="eastAsia"/>
          <w:lang w:val="en-US" w:eastAsia="zh-CN"/>
        </w:rPr>
      </w:pPr>
      <w:r>
        <w:rPr>
          <w:rFonts w:hint="eastAsia"/>
          <w:lang w:val="en-US" w:eastAsia="zh-CN"/>
        </w:rPr>
        <w:t>白水回收纤维：白水回收系统将产生白水回收纤维，统一收集后回用于配浆工序。</w:t>
      </w:r>
    </w:p>
    <w:p>
      <w:pPr>
        <w:bidi w:val="0"/>
        <w:rPr>
          <w:rFonts w:hint="default"/>
          <w:lang w:val="en-US" w:eastAsia="zh-CN"/>
        </w:rPr>
      </w:pPr>
      <w:r>
        <w:rPr>
          <w:rFonts w:hint="eastAsia"/>
          <w:lang w:val="en-US" w:eastAsia="zh-CN"/>
        </w:rPr>
        <w:t>废毛布、废聚酯膜：本项目所用毛布、聚酯网需定期更换，每月更换一次，收集后统一外售。</w:t>
      </w:r>
    </w:p>
    <w:p>
      <w:pPr>
        <w:bidi w:val="0"/>
        <w:rPr>
          <w:rFonts w:hint="eastAsia"/>
          <w:lang w:val="en-US" w:eastAsia="zh-CN"/>
        </w:rPr>
      </w:pPr>
      <w:r>
        <w:rPr>
          <w:rFonts w:hint="eastAsia"/>
          <w:lang w:val="en-US" w:eastAsia="zh-CN"/>
        </w:rPr>
        <w:t>回收纸尘：本项目袋式除尘回收纸尘量为6.1t/a，返回损纸处理生产线处理后送抄纸工段配浆不外排。</w:t>
      </w:r>
    </w:p>
    <w:p>
      <w:pPr>
        <w:bidi w:val="0"/>
        <w:rPr>
          <w:rFonts w:hint="eastAsia"/>
          <w:lang w:val="en-US" w:eastAsia="zh-CN"/>
        </w:rPr>
      </w:pPr>
      <w:r>
        <w:rPr>
          <w:rFonts w:hint="eastAsia"/>
          <w:lang w:val="en-US" w:eastAsia="zh-CN"/>
        </w:rPr>
        <w:t>（2）危险废物</w:t>
      </w:r>
    </w:p>
    <w:p>
      <w:pPr>
        <w:bidi w:val="0"/>
        <w:rPr>
          <w:rFonts w:hint="default"/>
          <w:lang w:val="en-US" w:eastAsia="zh-CN"/>
        </w:rPr>
      </w:pPr>
      <w:r>
        <w:rPr>
          <w:rFonts w:hint="eastAsia"/>
          <w:lang w:val="en-US" w:eastAsia="zh-CN"/>
        </w:rPr>
        <w:t>废油（润滑油）：项目生产设备、机泵等日常保养、维修会使用润滑油、液压油等，润滑油会更换，液压油只添加，无需更换，更换产生的废润滑油属于危险废物HW08，收集后委托有危废处置资质的单位处置。</w:t>
      </w:r>
    </w:p>
    <w:p>
      <w:pPr>
        <w:bidi w:val="0"/>
        <w:rPr>
          <w:rFonts w:hint="eastAsia"/>
          <w:lang w:val="en-US" w:eastAsia="zh-CN"/>
        </w:rPr>
      </w:pPr>
      <w:r>
        <w:rPr>
          <w:rFonts w:hint="eastAsia"/>
          <w:lang w:val="en-US" w:eastAsia="zh-CN"/>
        </w:rPr>
        <w:t>废油桶项目润滑油、液压油的废包装桶属于危险废物HW08，收集后委托有危废处置资质的单位处置。</w:t>
      </w:r>
    </w:p>
    <w:p>
      <w:pPr>
        <w:bidi w:val="0"/>
        <w:rPr>
          <w:rFonts w:hint="eastAsia"/>
          <w:lang w:val="en-US" w:eastAsia="zh-CN"/>
        </w:rPr>
      </w:pPr>
      <w:r>
        <w:rPr>
          <w:rFonts w:hint="eastAsia"/>
          <w:lang w:val="en-US" w:eastAsia="zh-CN"/>
        </w:rPr>
        <w:t>（3）生活垃圾</w:t>
      </w:r>
    </w:p>
    <w:p>
      <w:pPr>
        <w:bidi w:val="0"/>
        <w:rPr>
          <w:rFonts w:hint="eastAsia"/>
          <w:lang w:val="en-US" w:eastAsia="zh-CN"/>
        </w:rPr>
      </w:pPr>
      <w:r>
        <w:rPr>
          <w:rFonts w:hint="eastAsia"/>
          <w:lang w:val="en-US" w:eastAsia="zh-CN"/>
        </w:rPr>
        <w:t>本项目新增职工135人，产生的生活垃圾收集后由环卫部门清运最终进行卫生填埋处置。</w:t>
      </w:r>
    </w:p>
    <w:p>
      <w:pPr>
        <w:bidi w:val="0"/>
      </w:pPr>
      <w:r>
        <w:rPr>
          <w:rFonts w:hint="eastAsia"/>
        </w:rPr>
        <w:t>综上所述，本项目运行期间固体废物预估产生量处理处置措施详预估量见表</w:t>
      </w:r>
      <w:r>
        <w:rPr>
          <w:rFonts w:hint="eastAsia" w:cs="Times New Roman"/>
        </w:rPr>
        <w:t>4.1</w:t>
      </w:r>
      <w:r>
        <w:rPr>
          <w:rFonts w:cs="Times New Roman"/>
        </w:rPr>
        <w:t>-4。</w:t>
      </w:r>
    </w:p>
    <w:p>
      <w:pPr>
        <w:pStyle w:val="3"/>
        <w:bidi w:val="0"/>
      </w:pPr>
      <w:bookmarkStart w:id="44" w:name="_Toc25188"/>
      <w:r>
        <w:t>4.2其他环境保护措施</w:t>
      </w:r>
      <w:bookmarkEnd w:id="44"/>
    </w:p>
    <w:p>
      <w:pPr>
        <w:pStyle w:val="4"/>
        <w:bidi w:val="0"/>
      </w:pPr>
      <w:bookmarkStart w:id="45" w:name="_Toc8147"/>
      <w:r>
        <w:t>4.2.1地下水环境保护措施</w:t>
      </w:r>
      <w:bookmarkEnd w:id="45"/>
    </w:p>
    <w:p>
      <w:pPr>
        <w:bidi w:val="0"/>
        <w:rPr>
          <w:rFonts w:hint="eastAsia"/>
        </w:rPr>
      </w:pPr>
      <w:r>
        <w:rPr>
          <w:rFonts w:hint="eastAsia"/>
        </w:rPr>
        <w:t>地下水污染防治措施坚持</w:t>
      </w:r>
      <w:r>
        <w:rPr>
          <w:rFonts w:hint="eastAsia"/>
          <w:lang w:eastAsia="zh-CN"/>
        </w:rPr>
        <w:t>“</w:t>
      </w:r>
      <w:r>
        <w:rPr>
          <w:rFonts w:hint="eastAsia"/>
        </w:rPr>
        <w:t>源头控制、分区防控、污染监控、应急响应</w:t>
      </w:r>
      <w:r>
        <w:rPr>
          <w:rFonts w:hint="eastAsia"/>
          <w:lang w:eastAsia="zh-CN"/>
        </w:rPr>
        <w:t>”</w:t>
      </w:r>
      <w:r>
        <w:rPr>
          <w:rFonts w:hint="eastAsia"/>
        </w:rPr>
        <w:t>相结合的原则，采取主动控制和被动控制相结合的措施。主动控制即源头控制措施，主要包括在工艺、管道、设备、污水储存及处理构筑物采取相应措施，防止和降低污染物跑、冒、滴、漏，将污染物泄漏的环境风险事故降到最低程度。被动控制即末端控制措施，主要包括厂区潜在污染区地面的防渗措施和泄漏、渗漏污染物收集措施，即在污染区地面进行防渗处理，防止洒落地面的污染物渗入地下，并把滞留在地面的污染物收集起来，集中送至治理设施处理。</w:t>
      </w:r>
    </w:p>
    <w:p>
      <w:pPr>
        <w:bidi w:val="0"/>
        <w:rPr>
          <w:rFonts w:hint="eastAsia"/>
        </w:rPr>
      </w:pPr>
      <w:r>
        <w:rPr>
          <w:rFonts w:hint="eastAsia"/>
        </w:rPr>
        <w:t>根据本项目的特点及可能造成的地下水污染，提出以下污染防治措施。</w:t>
      </w:r>
    </w:p>
    <w:p>
      <w:pPr>
        <w:bidi w:val="0"/>
        <w:rPr>
          <w:rFonts w:hint="eastAsia"/>
        </w:rPr>
      </w:pPr>
      <w:r>
        <w:rPr>
          <w:rFonts w:hint="eastAsia"/>
        </w:rPr>
        <w:t>①源头控制措施</w:t>
      </w:r>
    </w:p>
    <w:p>
      <w:pPr>
        <w:bidi w:val="0"/>
        <w:rPr>
          <w:rFonts w:hint="eastAsia"/>
        </w:rPr>
      </w:pPr>
      <w:r>
        <w:rPr>
          <w:rFonts w:hint="eastAsia"/>
        </w:rPr>
        <w:t>本工程选择先进、成熟的工艺技术、装备和较清洁的原辅材料，尽可能从源头上减少污染物的产生；严格按照国家相关规范要求，对处理工艺、物料管道、设备、污水储存及处理构筑物采取相应的防护措施，防止和降低污染物的跑、冒、滴、漏，将物料泄漏的环境风险事故降低到最低程度。</w:t>
      </w:r>
    </w:p>
    <w:p>
      <w:pPr>
        <w:bidi w:val="0"/>
        <w:rPr>
          <w:rFonts w:hint="eastAsia"/>
        </w:rPr>
      </w:pPr>
      <w:r>
        <w:rPr>
          <w:rFonts w:hint="eastAsia"/>
        </w:rPr>
        <w:t>生产车间、白水池、白水处理设施应严格执行地下水污染防控的有关要求，做好防腐防渗措施，以防止和降低污染地下水的环境风险。</w:t>
      </w:r>
    </w:p>
    <w:p>
      <w:pPr>
        <w:bidi w:val="0"/>
        <w:rPr>
          <w:rFonts w:hint="eastAsia"/>
        </w:rPr>
      </w:pPr>
      <w:r>
        <w:rPr>
          <w:rFonts w:hint="eastAsia"/>
        </w:rPr>
        <w:t>②分区防控措施</w:t>
      </w:r>
    </w:p>
    <w:p>
      <w:pPr>
        <w:bidi w:val="0"/>
        <w:rPr>
          <w:rFonts w:hint="eastAsia"/>
        </w:rPr>
      </w:pPr>
      <w:r>
        <w:rPr>
          <w:rFonts w:hint="eastAsia"/>
        </w:rPr>
        <w:t>为防止污染地下水，针对项目特点，依据《环境影响评价技术导则地下水环境》</w:t>
      </w:r>
      <w:r>
        <w:rPr>
          <w:rFonts w:hint="eastAsia"/>
          <w:lang w:eastAsia="zh-CN"/>
        </w:rPr>
        <w:t>（</w:t>
      </w:r>
      <w:r>
        <w:rPr>
          <w:rFonts w:hint="eastAsia"/>
        </w:rPr>
        <w:t>HJ610-2016</w:t>
      </w:r>
      <w:r>
        <w:rPr>
          <w:rFonts w:hint="eastAsia"/>
          <w:lang w:eastAsia="zh-CN"/>
        </w:rPr>
        <w:t>）</w:t>
      </w:r>
      <w:r>
        <w:rPr>
          <w:rFonts w:hint="eastAsia"/>
        </w:rPr>
        <w:t>相关要求，将项目区划分为重点防渗区、一般防渗区和简单防渗区，采取相应的防渗措施。</w:t>
      </w:r>
    </w:p>
    <w:p>
      <w:pPr>
        <w:numPr>
          <w:ilvl w:val="0"/>
          <w:numId w:val="5"/>
        </w:numPr>
        <w:bidi w:val="0"/>
        <w:rPr>
          <w:rFonts w:hint="eastAsia" w:cs="Times New Roman"/>
        </w:rPr>
      </w:pPr>
      <w:r>
        <w:rPr>
          <w:rFonts w:hint="eastAsia"/>
        </w:rPr>
        <w:t>重点防渗区：浆池、白水池和应急事故池的池底池壁、白水导流收集管</w:t>
      </w:r>
      <w:r>
        <w:rPr>
          <w:rFonts w:hint="eastAsia" w:cs="Times New Roman"/>
        </w:rPr>
        <w:t>道均为本项目地下水重点污染防治区域，防渗层防渗性能不应低于6m厚渗透系数为1×10</w:t>
      </w:r>
      <w:r>
        <w:rPr>
          <w:rFonts w:hint="eastAsia" w:cs="Times New Roman"/>
          <w:vertAlign w:val="superscript"/>
        </w:rPr>
        <w:t>-7</w:t>
      </w:r>
      <w:r>
        <w:rPr>
          <w:rFonts w:hint="eastAsia" w:cs="Times New Roman"/>
        </w:rPr>
        <w:t>cm/s的黏土层的防渗性能。</w:t>
      </w:r>
    </w:p>
    <w:p>
      <w:pPr>
        <w:pStyle w:val="43"/>
        <w:ind w:firstLine="480"/>
        <w:rPr>
          <w:rFonts w:hint="eastAsia" w:cs="Times New Roman"/>
        </w:rPr>
      </w:pPr>
      <w:r>
        <w:rPr>
          <w:rFonts w:hint="eastAsia" w:cs="Times New Roman"/>
        </w:rPr>
        <w:t>2</w:t>
      </w:r>
      <w:r>
        <w:rPr>
          <w:rFonts w:hint="eastAsia" w:cs="Times New Roman"/>
          <w:lang w:eastAsia="zh-CN"/>
        </w:rPr>
        <w:t>）</w:t>
      </w:r>
      <w:r>
        <w:rPr>
          <w:rFonts w:hint="eastAsia" w:cs="Times New Roman"/>
        </w:rPr>
        <w:t>一般防渗区：造纸生产车间地面应进行硬化及防渗、防漏、防腐处理。生产车间地面防渗层防渗性能不应低于1.5m厚渗透系数为1×10</w:t>
      </w:r>
      <w:r>
        <w:rPr>
          <w:rFonts w:hint="eastAsia" w:cs="Times New Roman"/>
          <w:vertAlign w:val="superscript"/>
        </w:rPr>
        <w:t>-7</w:t>
      </w:r>
      <w:r>
        <w:rPr>
          <w:rFonts w:hint="eastAsia" w:cs="Times New Roman"/>
        </w:rPr>
        <w:t>cm/s的黏土层的防渗性能。</w:t>
      </w:r>
    </w:p>
    <w:p>
      <w:pPr>
        <w:pStyle w:val="43"/>
        <w:ind w:firstLine="480"/>
        <w:rPr>
          <w:rFonts w:hint="eastAsia" w:cs="Times New Roman"/>
        </w:rPr>
      </w:pPr>
      <w:r>
        <w:rPr>
          <w:rFonts w:hint="eastAsia" w:cs="Times New Roman"/>
        </w:rPr>
        <w:t>3</w:t>
      </w:r>
      <w:r>
        <w:rPr>
          <w:rFonts w:hint="eastAsia" w:cs="Times New Roman"/>
          <w:lang w:eastAsia="zh-CN"/>
        </w:rPr>
        <w:t>）</w:t>
      </w:r>
      <w:r>
        <w:rPr>
          <w:rFonts w:hint="eastAsia" w:cs="Times New Roman"/>
        </w:rPr>
        <w:t>简单防渗区：成品库房、厂区道路等，实施地面硬化或绿化处理。</w:t>
      </w:r>
    </w:p>
    <w:p>
      <w:pPr>
        <w:pStyle w:val="43"/>
        <w:ind w:firstLine="480"/>
        <w:rPr>
          <w:rFonts w:hint="eastAsia" w:cs="Times New Roman"/>
        </w:rPr>
      </w:pPr>
      <w:r>
        <w:rPr>
          <w:rFonts w:hint="eastAsia" w:cs="Times New Roman"/>
        </w:rPr>
        <w:t>同时，项目建设应符合《工业建筑防腐蚀设计规范》</w:t>
      </w:r>
      <w:r>
        <w:rPr>
          <w:rFonts w:hint="eastAsia" w:cs="Times New Roman"/>
          <w:lang w:eastAsia="zh-CN"/>
        </w:rPr>
        <w:t>（</w:t>
      </w:r>
      <w:r>
        <w:rPr>
          <w:rFonts w:hint="eastAsia" w:cs="Times New Roman"/>
        </w:rPr>
        <w:t>GB50046-2008</w:t>
      </w:r>
      <w:r>
        <w:rPr>
          <w:rFonts w:hint="eastAsia" w:cs="Times New Roman"/>
          <w:lang w:eastAsia="zh-CN"/>
        </w:rPr>
        <w:t>）</w:t>
      </w:r>
      <w:r>
        <w:rPr>
          <w:rFonts w:hint="eastAsia" w:cs="Times New Roman"/>
        </w:rPr>
        <w:t>等有关要求，其它应采取的防渗漏措施主要有：</w:t>
      </w:r>
    </w:p>
    <w:p>
      <w:pPr>
        <w:pStyle w:val="43"/>
        <w:ind w:firstLine="480"/>
        <w:rPr>
          <w:rFonts w:hint="eastAsia" w:cs="Times New Roman"/>
        </w:rPr>
      </w:pPr>
      <w:r>
        <w:rPr>
          <w:rFonts w:hint="eastAsia" w:cs="Times New Roman"/>
          <w:lang w:eastAsia="zh-CN"/>
        </w:rPr>
        <w:t>（</w:t>
      </w:r>
      <w:r>
        <w:rPr>
          <w:rFonts w:hint="eastAsia" w:cs="Times New Roman"/>
        </w:rPr>
        <w:t>1</w:t>
      </w:r>
      <w:r>
        <w:rPr>
          <w:rFonts w:hint="eastAsia" w:cs="Times New Roman"/>
          <w:lang w:eastAsia="zh-CN"/>
        </w:rPr>
        <w:t>）</w:t>
      </w:r>
      <w:r>
        <w:rPr>
          <w:rFonts w:hint="eastAsia" w:cs="Times New Roman"/>
        </w:rPr>
        <w:t>厂区各设备和管道均应选用优质设备和管件，并加强日常管理和维修维护工作，防止和减少跑、冒、滴、漏现象的发生。</w:t>
      </w:r>
    </w:p>
    <w:p>
      <w:pPr>
        <w:pStyle w:val="43"/>
        <w:ind w:firstLine="480"/>
        <w:rPr>
          <w:rFonts w:hint="eastAsia" w:cs="Times New Roman"/>
        </w:rPr>
      </w:pPr>
      <w:r>
        <w:rPr>
          <w:rFonts w:hint="eastAsia" w:cs="Times New Roman"/>
          <w:lang w:eastAsia="zh-CN"/>
        </w:rPr>
        <w:t>（</w:t>
      </w:r>
      <w:r>
        <w:rPr>
          <w:rFonts w:hint="eastAsia" w:cs="Times New Roman"/>
        </w:rPr>
        <w:t>2</w:t>
      </w:r>
      <w:r>
        <w:rPr>
          <w:rFonts w:hint="eastAsia" w:cs="Times New Roman"/>
          <w:lang w:eastAsia="zh-CN"/>
        </w:rPr>
        <w:t>）</w:t>
      </w:r>
      <w:r>
        <w:rPr>
          <w:rFonts w:hint="eastAsia" w:cs="Times New Roman"/>
        </w:rPr>
        <w:t>生产车间设置相应的浆料收集池，防止浆料泄漏污染地下水。</w:t>
      </w:r>
    </w:p>
    <w:p>
      <w:pPr>
        <w:pStyle w:val="43"/>
        <w:ind w:firstLine="480"/>
        <w:rPr>
          <w:rFonts w:hint="eastAsia" w:cs="Times New Roman"/>
        </w:rPr>
      </w:pPr>
      <w:r>
        <w:rPr>
          <w:rFonts w:hint="eastAsia" w:cs="Times New Roman"/>
          <w:lang w:eastAsia="zh-CN"/>
        </w:rPr>
        <w:t>（</w:t>
      </w:r>
      <w:r>
        <w:rPr>
          <w:rFonts w:hint="eastAsia" w:cs="Times New Roman"/>
        </w:rPr>
        <w:t>3</w:t>
      </w:r>
      <w:r>
        <w:rPr>
          <w:rFonts w:hint="eastAsia" w:cs="Times New Roman"/>
          <w:lang w:eastAsia="zh-CN"/>
        </w:rPr>
        <w:t>）</w:t>
      </w:r>
      <w:r>
        <w:rPr>
          <w:rFonts w:hint="eastAsia" w:cs="Times New Roman"/>
        </w:rPr>
        <w:t>在厂区设置雨水、排水系统并做好相应的防渗措施。同时在厂区内严格管理，禁止进行分散排放。</w:t>
      </w:r>
    </w:p>
    <w:p>
      <w:pPr>
        <w:pStyle w:val="43"/>
        <w:ind w:firstLine="480"/>
        <w:rPr>
          <w:rFonts w:hint="eastAsia" w:cs="Times New Roman"/>
        </w:rPr>
      </w:pPr>
      <w:r>
        <w:rPr>
          <w:rFonts w:hint="eastAsia" w:cs="Times New Roman"/>
        </w:rPr>
        <w:t>③污染监控体系</w:t>
      </w:r>
    </w:p>
    <w:p>
      <w:pPr>
        <w:pStyle w:val="43"/>
        <w:ind w:firstLine="480"/>
        <w:rPr>
          <w:rFonts w:hint="eastAsia" w:cs="Times New Roman"/>
        </w:rPr>
      </w:pPr>
      <w:r>
        <w:rPr>
          <w:rFonts w:hint="eastAsia" w:cs="Times New Roman"/>
        </w:rPr>
        <w:t>实施覆盖生产区的地下水污染监控系统，包括建立完善的监测制度、配备检测仪器和设备、科学、合理设置地下水污染监控井，及时发现污染、及时控制。</w:t>
      </w:r>
    </w:p>
    <w:p>
      <w:pPr>
        <w:pStyle w:val="43"/>
        <w:ind w:firstLine="480"/>
        <w:rPr>
          <w:rFonts w:hint="eastAsia" w:cs="Times New Roman"/>
        </w:rPr>
      </w:pPr>
      <w:r>
        <w:rPr>
          <w:rFonts w:hint="eastAsia" w:cs="Times New Roman"/>
        </w:rPr>
        <w:t>为了掌握本工程周围地下水环境质量状况和地下水体中污染物的动态变化，对本项目所在地周围的地下水水质进行定期监测，以便及时准确地反馈工程建设区域地下水水质状况，为防止本工程对地下水的事故污染采取相应的措施提供重要的依据。根据地下水流向、污染源分布情况及污染物在地下水中的扩散形式，以及HJ610-2016的要求，企业应在厂区及其周边区域布设3个地下水污染监控井，建立地下水污染监控、预警体系。</w:t>
      </w:r>
    </w:p>
    <w:p>
      <w:pPr>
        <w:pStyle w:val="43"/>
        <w:ind w:firstLine="480"/>
        <w:rPr>
          <w:rFonts w:hint="eastAsia" w:cs="Times New Roman"/>
        </w:rPr>
      </w:pPr>
      <w:r>
        <w:rPr>
          <w:rFonts w:hint="eastAsia" w:cs="Times New Roman"/>
        </w:rPr>
        <w:t>④应急响应措施</w:t>
      </w:r>
    </w:p>
    <w:p>
      <w:pPr>
        <w:bidi w:val="0"/>
        <w:ind w:firstLine="720" w:firstLineChars="300"/>
        <w:rPr>
          <w:rFonts w:hint="eastAsia"/>
        </w:rPr>
      </w:pPr>
      <w:r>
        <w:rPr>
          <w:rFonts w:hint="eastAsia"/>
        </w:rPr>
        <w:t>一旦发现地下水污染事故，立即启动应急预案、采取应急措施控制地下水污染，并使污染得到治理。</w:t>
      </w:r>
    </w:p>
    <w:p>
      <w:pPr>
        <w:pStyle w:val="5"/>
        <w:bidi w:val="0"/>
      </w:pPr>
      <w:r>
        <w:rPr>
          <w:rFonts w:hint="eastAsia"/>
        </w:rPr>
        <w:t>4</w:t>
      </w:r>
      <w:r>
        <w:t>.2.1.2风险预防措施</w:t>
      </w:r>
    </w:p>
    <w:p>
      <w:pPr>
        <w:bidi w:val="0"/>
      </w:pPr>
      <w:r>
        <w:rPr>
          <w:rFonts w:hint="eastAsia"/>
          <w:lang w:eastAsia="zh-CN"/>
        </w:rPr>
        <w:t>（</w:t>
      </w:r>
      <w:r>
        <w:t>1）贮存过程中的事故防范措施</w:t>
      </w:r>
    </w:p>
    <w:p>
      <w:pPr>
        <w:bidi w:val="0"/>
      </w:pPr>
      <w:r>
        <w:rPr>
          <w:rFonts w:hint="eastAsia"/>
        </w:rPr>
        <w:t>①</w:t>
      </w:r>
      <w:r>
        <w:t>落实责任制，生产车间、仓库应分设负责人看管，确保生产车间、仓库消防隐患时刻监控，不可利用废物定期清理；</w:t>
      </w:r>
    </w:p>
    <w:p>
      <w:pPr>
        <w:bidi w:val="0"/>
      </w:pPr>
      <w:r>
        <w:rPr>
          <w:rFonts w:hint="eastAsia"/>
        </w:rPr>
        <w:t>②</w:t>
      </w:r>
      <w:r>
        <w:t>如突发火灾，应立即采取急救措施，并及时向当地环保局等有关部门报告。</w:t>
      </w:r>
    </w:p>
    <w:p>
      <w:pPr>
        <w:bidi w:val="0"/>
      </w:pPr>
      <w:r>
        <w:rPr>
          <w:rFonts w:hint="eastAsia"/>
          <w:lang w:eastAsia="zh-CN"/>
        </w:rPr>
        <w:t>（</w:t>
      </w:r>
      <w:r>
        <w:t>2）运行过程中的事故防范措施</w:t>
      </w:r>
    </w:p>
    <w:p>
      <w:pPr>
        <w:bidi w:val="0"/>
      </w:pPr>
      <w:r>
        <w:t>①严格操作规程，加强对生产和辅助设备定期检修，确保废气处理设施正常运行和加工过程中产生的废气达标排放；</w:t>
      </w:r>
    </w:p>
    <w:p>
      <w:pPr>
        <w:bidi w:val="0"/>
      </w:pPr>
      <w:r>
        <w:t>②加强管理，定期向当地环保主管部门及安全消防部门汇报，以便得到有效监管。</w:t>
      </w:r>
    </w:p>
    <w:p>
      <w:pPr>
        <w:bidi w:val="0"/>
      </w:pPr>
      <w:r>
        <w:rPr>
          <w:rFonts w:hint="eastAsia"/>
          <w:lang w:eastAsia="zh-CN"/>
        </w:rPr>
        <w:t>（</w:t>
      </w:r>
      <w:r>
        <w:t>3）火灾风险防范措施</w:t>
      </w:r>
    </w:p>
    <w:p>
      <w:pPr>
        <w:bidi w:val="0"/>
      </w:pPr>
      <w:r>
        <w:t>①加强消防安全教育培训。定期组织员工学习消防法规和各项规章制度，做到依法治火。</w:t>
      </w:r>
    </w:p>
    <w:p>
      <w:pPr>
        <w:bidi w:val="0"/>
      </w:pPr>
      <w:r>
        <w:t>②加强防火巡查检查。落实逐级消防安全责任制和岗位消防安全责任制，落实巡查检查制度</w:t>
      </w:r>
      <w:r>
        <w:rPr>
          <w:rFonts w:hint="eastAsia"/>
        </w:rPr>
        <w:t>，</w:t>
      </w:r>
      <w:r>
        <w:t>若发现本单位存在火灾隐患，应及时整改。</w:t>
      </w:r>
    </w:p>
    <w:p>
      <w:pPr>
        <w:bidi w:val="0"/>
      </w:pPr>
      <w:r>
        <w:t>③加强安全疏散设施管理。单位应保持疏散通道、安全出口畅通，严禁在营业或工作期间将安全出口上锁。</w:t>
      </w:r>
    </w:p>
    <w:p>
      <w:pPr>
        <w:pStyle w:val="4"/>
        <w:ind w:firstLine="482" w:firstLineChars="200"/>
      </w:pPr>
      <w:bookmarkStart w:id="46" w:name="_Toc25598"/>
      <w:bookmarkStart w:id="47" w:name="_Toc30429"/>
      <w:bookmarkStart w:id="48" w:name="_Toc5748"/>
      <w:r>
        <w:rPr>
          <w:rFonts w:hint="eastAsia"/>
        </w:rPr>
        <w:t>4.2.2</w:t>
      </w:r>
      <w:r>
        <w:t>水环境风险</w:t>
      </w:r>
      <w:bookmarkEnd w:id="46"/>
      <w:bookmarkEnd w:id="47"/>
      <w:bookmarkEnd w:id="48"/>
    </w:p>
    <w:p>
      <w:pPr>
        <w:pStyle w:val="43"/>
        <w:ind w:firstLine="480"/>
        <w:rPr>
          <w:rFonts w:cs="Times New Roman"/>
        </w:rPr>
      </w:pPr>
      <w:r>
        <w:rPr>
          <w:rFonts w:cs="Times New Roman"/>
        </w:rPr>
        <w:t>发生事故时，全厂将在第一时间内立即停产，建议建设单位新建事故池，因项目生产产生废水污染因子较少，污染程度较轻，没有必要建设事故池，生产废水沉淀后可以循环使用，产生的废水可暂存于沉降池内，确保废水不会因废水处理事故而外排，沉降池内废水经沉淀</w:t>
      </w:r>
      <w:r>
        <w:rPr>
          <w:rFonts w:cs="Times New Roman"/>
          <w:lang w:val="en-US"/>
        </w:rPr>
        <w:t>过滤处理后</w:t>
      </w:r>
      <w:r>
        <w:rPr>
          <w:rFonts w:cs="Times New Roman"/>
        </w:rPr>
        <w:t>回用于生产。</w:t>
      </w:r>
    </w:p>
    <w:p>
      <w:pPr>
        <w:pStyle w:val="43"/>
        <w:ind w:firstLine="480"/>
        <w:rPr>
          <w:rFonts w:cs="Times New Roman"/>
        </w:rPr>
      </w:pPr>
      <w:r>
        <w:rPr>
          <w:rFonts w:cs="Times New Roman"/>
        </w:rPr>
        <w:t>因此，在废水处理事故状态下，废水不会出现外排，对周围地表水及地下水产生不利影响。</w:t>
      </w:r>
    </w:p>
    <w:p>
      <w:pPr>
        <w:pStyle w:val="4"/>
        <w:ind w:firstLine="482" w:firstLineChars="200"/>
      </w:pPr>
      <w:bookmarkStart w:id="49" w:name="_Toc21182"/>
      <w:bookmarkStart w:id="50" w:name="_Toc18915017"/>
      <w:bookmarkStart w:id="51" w:name="_Toc24692"/>
      <w:r>
        <w:rPr>
          <w:rFonts w:hint="eastAsia"/>
        </w:rPr>
        <w:t>4</w:t>
      </w:r>
      <w:r>
        <w:t>.2.3</w:t>
      </w:r>
      <w:r>
        <w:rPr>
          <w:rFonts w:hint="eastAsia"/>
        </w:rPr>
        <w:t>规范化排污口</w:t>
      </w:r>
      <w:bookmarkEnd w:id="49"/>
      <w:bookmarkEnd w:id="50"/>
      <w:bookmarkEnd w:id="51"/>
    </w:p>
    <w:p>
      <w:pPr>
        <w:ind w:firstLine="480"/>
        <w:rPr>
          <w:rFonts w:cs="Times New Roman"/>
          <w:lang w:val="zh-CN"/>
        </w:rPr>
      </w:pPr>
      <w:r>
        <w:rPr>
          <w:rFonts w:cs="Times New Roman"/>
          <w:lang w:val="zh-CN"/>
        </w:rPr>
        <w:t>本项目厂区内各排污口按照环境管理要求，进行规范化建设，</w:t>
      </w:r>
      <w:r>
        <w:rPr>
          <w:rFonts w:hint="eastAsia"/>
        </w:rPr>
        <w:t>有组织废气排放口均设置了监测孔</w:t>
      </w:r>
      <w:r>
        <w:rPr>
          <w:rFonts w:hint="eastAsia"/>
          <w:lang w:eastAsia="zh-CN"/>
        </w:rPr>
        <w:t>（</w:t>
      </w:r>
      <w:r>
        <w:rPr>
          <w:rFonts w:hint="eastAsia"/>
        </w:rPr>
        <w:t>位于烟囱三分之一处）、采样平台，</w:t>
      </w:r>
      <w:r>
        <w:rPr>
          <w:rFonts w:cs="Times New Roman"/>
          <w:lang w:val="zh-CN"/>
        </w:rPr>
        <w:t>厂区废水排放源、废气排放源、噪声排放源均设立规范的环境保护图形标志，按照《环境保护图形标志——排放口</w:t>
      </w:r>
      <w:r>
        <w:rPr>
          <w:rFonts w:hint="eastAsia" w:cs="Times New Roman"/>
          <w:lang w:val="zh-CN"/>
        </w:rPr>
        <w:t>（</w:t>
      </w:r>
      <w:r>
        <w:rPr>
          <w:rFonts w:cs="Times New Roman"/>
          <w:lang w:val="zh-CN"/>
        </w:rPr>
        <w:t>源）》</w:t>
      </w:r>
      <w:r>
        <w:rPr>
          <w:rFonts w:hint="eastAsia" w:cs="Times New Roman"/>
          <w:lang w:val="zh-CN"/>
        </w:rPr>
        <w:t>（</w:t>
      </w:r>
      <w:r>
        <w:rPr>
          <w:rFonts w:cs="Times New Roman"/>
          <w:lang w:val="zh-CN"/>
        </w:rPr>
        <w:t>GB15562.1-1995）执行，以利于企业管理和公众监督。</w:t>
      </w:r>
    </w:p>
    <w:p>
      <w:pPr>
        <w:ind w:firstLine="480"/>
        <w:rPr>
          <w:rFonts w:cs="Times New Roman"/>
          <w:lang w:val="zh-CN"/>
        </w:rPr>
      </w:pPr>
      <w:r>
        <w:rPr>
          <w:rFonts w:cs="Times New Roman"/>
          <w:lang w:val="zh-CN"/>
        </w:rPr>
        <w:t>环境保护图形标志详见表</w:t>
      </w:r>
      <w:r>
        <w:rPr>
          <w:rFonts w:hint="eastAsia" w:cs="Times New Roman"/>
        </w:rPr>
        <w:t>4</w:t>
      </w:r>
      <w:r>
        <w:rPr>
          <w:rFonts w:cs="Times New Roman"/>
          <w:lang w:val="zh-CN"/>
        </w:rPr>
        <w:t>.2-</w:t>
      </w:r>
      <w:r>
        <w:rPr>
          <w:rFonts w:hint="eastAsia" w:cs="Times New Roman"/>
        </w:rPr>
        <w:t>1</w:t>
      </w:r>
      <w:r>
        <w:rPr>
          <w:rFonts w:cs="Times New Roman"/>
          <w:lang w:val="zh-CN"/>
        </w:rPr>
        <w:t>。</w:t>
      </w:r>
    </w:p>
    <w:p>
      <w:pPr>
        <w:ind w:firstLine="482"/>
        <w:jc w:val="center"/>
        <w:rPr>
          <w:rFonts w:cs="Times New Roman"/>
          <w:b/>
          <w:szCs w:val="24"/>
        </w:rPr>
      </w:pPr>
      <w:bookmarkStart w:id="52" w:name="_Ref975"/>
      <w:r>
        <w:rPr>
          <w:rFonts w:cs="Times New Roman"/>
          <w:b/>
          <w:szCs w:val="24"/>
        </w:rPr>
        <w:t>表</w:t>
      </w:r>
      <w:r>
        <w:rPr>
          <w:rFonts w:hint="eastAsia" w:cs="Times New Roman"/>
          <w:b/>
          <w:szCs w:val="24"/>
        </w:rPr>
        <w:t>4</w:t>
      </w:r>
      <w:r>
        <w:rPr>
          <w:rFonts w:cs="Times New Roman"/>
          <w:b/>
          <w:szCs w:val="24"/>
        </w:rPr>
        <w:t>.2-</w:t>
      </w:r>
      <w:r>
        <w:rPr>
          <w:rFonts w:hint="eastAsia" w:cs="Times New Roman"/>
          <w:b/>
          <w:szCs w:val="24"/>
        </w:rPr>
        <w:t>1</w:t>
      </w:r>
      <w:r>
        <w:rPr>
          <w:rFonts w:cs="Times New Roman"/>
          <w:b/>
          <w:szCs w:val="24"/>
        </w:rPr>
        <w:t>环境保护图形标志</w:t>
      </w:r>
      <w:bookmarkEnd w:id="52"/>
      <w:r>
        <w:rPr>
          <w:rFonts w:cs="Times New Roman"/>
          <w:b/>
          <w:szCs w:val="24"/>
        </w:rPr>
        <w:t>一览表</w:t>
      </w:r>
    </w:p>
    <w:p>
      <w:pPr>
        <w:spacing w:line="67" w:lineRule="exact"/>
      </w:pPr>
    </w:p>
    <w:tbl>
      <w:tblPr>
        <w:tblStyle w:val="62"/>
        <w:tblW w:w="85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2"/>
        <w:gridCol w:w="1595"/>
        <w:gridCol w:w="2081"/>
        <w:gridCol w:w="1469"/>
        <w:gridCol w:w="27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582" w:type="dxa"/>
            <w:tcBorders>
              <w:left w:val="nil"/>
              <w:right w:val="single" w:color="000000" w:sz="4" w:space="0"/>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1"/>
                <w:szCs w:val="21"/>
              </w:rPr>
            </w:pPr>
            <w:r>
              <w:rPr>
                <w:rFonts w:ascii="宋体" w:hAnsi="宋体" w:eastAsia="宋体" w:cs="宋体"/>
                <w:spacing w:val="-9"/>
                <w:sz w:val="21"/>
                <w:szCs w:val="21"/>
              </w:rPr>
              <w:t>序</w:t>
            </w:r>
            <w:r>
              <w:rPr>
                <w:rFonts w:ascii="宋体" w:hAnsi="宋体" w:eastAsia="宋体" w:cs="宋体"/>
                <w:spacing w:val="-6"/>
                <w:sz w:val="21"/>
                <w:szCs w:val="21"/>
              </w:rPr>
              <w:t>号</w:t>
            </w:r>
          </w:p>
        </w:tc>
        <w:tc>
          <w:tcPr>
            <w:tcW w:w="159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1"/>
                <w:szCs w:val="21"/>
              </w:rPr>
            </w:pPr>
            <w:r>
              <w:rPr>
                <w:rFonts w:ascii="宋体" w:hAnsi="宋体" w:eastAsia="宋体" w:cs="宋体"/>
                <w:spacing w:val="8"/>
                <w:sz w:val="21"/>
                <w:szCs w:val="21"/>
              </w:rPr>
              <w:t>提示图形符号</w:t>
            </w:r>
          </w:p>
        </w:tc>
        <w:tc>
          <w:tcPr>
            <w:tcW w:w="2081"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1"/>
                <w:szCs w:val="21"/>
              </w:rPr>
            </w:pPr>
            <w:r>
              <w:rPr>
                <w:rFonts w:ascii="宋体" w:hAnsi="宋体" w:eastAsia="宋体" w:cs="宋体"/>
                <w:spacing w:val="11"/>
                <w:sz w:val="21"/>
                <w:szCs w:val="21"/>
              </w:rPr>
              <w:t>警</w:t>
            </w:r>
            <w:r>
              <w:rPr>
                <w:rFonts w:ascii="宋体" w:hAnsi="宋体" w:eastAsia="宋体" w:cs="宋体"/>
                <w:spacing w:val="7"/>
                <w:sz w:val="21"/>
                <w:szCs w:val="21"/>
              </w:rPr>
              <w:t>告图形符号</w:t>
            </w:r>
          </w:p>
        </w:tc>
        <w:tc>
          <w:tcPr>
            <w:tcW w:w="146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1"/>
                <w:szCs w:val="21"/>
              </w:rPr>
            </w:pPr>
            <w:r>
              <w:rPr>
                <w:rFonts w:ascii="宋体" w:hAnsi="宋体" w:eastAsia="宋体" w:cs="宋体"/>
                <w:spacing w:val="4"/>
                <w:sz w:val="21"/>
                <w:szCs w:val="21"/>
              </w:rPr>
              <w:t>名</w:t>
            </w:r>
            <w:r>
              <w:rPr>
                <w:rFonts w:ascii="宋体" w:hAnsi="宋体" w:eastAsia="宋体" w:cs="宋体"/>
                <w:spacing w:val="3"/>
                <w:sz w:val="21"/>
                <w:szCs w:val="21"/>
              </w:rPr>
              <w:t>称</w:t>
            </w:r>
          </w:p>
        </w:tc>
        <w:tc>
          <w:tcPr>
            <w:tcW w:w="2789"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1"/>
                <w:szCs w:val="21"/>
              </w:rPr>
            </w:pPr>
            <w:r>
              <w:rPr>
                <w:rFonts w:ascii="宋体" w:hAnsi="宋体" w:eastAsia="宋体" w:cs="宋体"/>
                <w:spacing w:val="3"/>
                <w:sz w:val="21"/>
                <w:szCs w:val="21"/>
              </w:rPr>
              <w:t>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jc w:val="center"/>
        </w:trPr>
        <w:tc>
          <w:tcPr>
            <w:tcW w:w="58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9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845185" cy="853440"/>
                  <wp:effectExtent l="0" t="0" r="12065" b="3810"/>
                  <wp:docPr id="24" name="图片 3"/>
                  <wp:cNvGraphicFramePr/>
                  <a:graphic xmlns:a="http://schemas.openxmlformats.org/drawingml/2006/main">
                    <a:graphicData uri="http://schemas.openxmlformats.org/drawingml/2006/picture">
                      <pic:pic xmlns:pic="http://schemas.openxmlformats.org/drawingml/2006/picture">
                        <pic:nvPicPr>
                          <pic:cNvPr id="24" name="图片 3"/>
                          <pic:cNvPicPr/>
                        </pic:nvPicPr>
                        <pic:blipFill>
                          <a:blip r:embed="rId24"/>
                          <a:stretch>
                            <a:fillRect/>
                          </a:stretch>
                        </pic:blipFill>
                        <pic:spPr>
                          <a:xfrm>
                            <a:off x="0" y="0"/>
                            <a:ext cx="845185" cy="853440"/>
                          </a:xfrm>
                          <a:prstGeom prst="rect">
                            <a:avLst/>
                          </a:prstGeom>
                          <a:noFill/>
                          <a:ln>
                            <a:noFill/>
                          </a:ln>
                        </pic:spPr>
                      </pic:pic>
                    </a:graphicData>
                  </a:graphic>
                </wp:inline>
              </w:drawing>
            </w:r>
          </w:p>
        </w:tc>
        <w:tc>
          <w:tcPr>
            <w:tcW w:w="2081"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845820" cy="853440"/>
                  <wp:effectExtent l="0" t="0" r="11430" b="3810"/>
                  <wp:docPr id="17" name="图片 4"/>
                  <wp:cNvGraphicFramePr/>
                  <a:graphic xmlns:a="http://schemas.openxmlformats.org/drawingml/2006/main">
                    <a:graphicData uri="http://schemas.openxmlformats.org/drawingml/2006/picture">
                      <pic:pic xmlns:pic="http://schemas.openxmlformats.org/drawingml/2006/picture">
                        <pic:nvPicPr>
                          <pic:cNvPr id="17" name="图片 4"/>
                          <pic:cNvPicPr/>
                        </pic:nvPicPr>
                        <pic:blipFill>
                          <a:blip r:embed="rId25"/>
                          <a:stretch>
                            <a:fillRect/>
                          </a:stretch>
                        </pic:blipFill>
                        <pic:spPr>
                          <a:xfrm>
                            <a:off x="0" y="0"/>
                            <a:ext cx="845820" cy="853440"/>
                          </a:xfrm>
                          <a:prstGeom prst="rect">
                            <a:avLst/>
                          </a:prstGeom>
                          <a:noFill/>
                          <a:ln>
                            <a:noFill/>
                          </a:ln>
                        </pic:spPr>
                      </pic:pic>
                    </a:graphicData>
                  </a:graphic>
                </wp:inline>
              </w:drawing>
            </w:r>
          </w:p>
        </w:tc>
        <w:tc>
          <w:tcPr>
            <w:tcW w:w="1469" w:type="dxa"/>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废水排放口</w:t>
            </w:r>
          </w:p>
        </w:tc>
        <w:tc>
          <w:tcPr>
            <w:tcW w:w="2789" w:type="dxa"/>
            <w:tcBorders>
              <w:left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表示废水向水体排放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jc w:val="center"/>
        </w:trPr>
        <w:tc>
          <w:tcPr>
            <w:tcW w:w="58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9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845185" cy="853440"/>
                  <wp:effectExtent l="0" t="0" r="12065" b="3810"/>
                  <wp:docPr id="19" name="图片 5"/>
                  <wp:cNvGraphicFramePr/>
                  <a:graphic xmlns:a="http://schemas.openxmlformats.org/drawingml/2006/main">
                    <a:graphicData uri="http://schemas.openxmlformats.org/drawingml/2006/picture">
                      <pic:pic xmlns:pic="http://schemas.openxmlformats.org/drawingml/2006/picture">
                        <pic:nvPicPr>
                          <pic:cNvPr id="19" name="图片 5"/>
                          <pic:cNvPicPr/>
                        </pic:nvPicPr>
                        <pic:blipFill>
                          <a:blip r:embed="rId26"/>
                          <a:stretch>
                            <a:fillRect/>
                          </a:stretch>
                        </pic:blipFill>
                        <pic:spPr>
                          <a:xfrm>
                            <a:off x="0" y="0"/>
                            <a:ext cx="845185" cy="853440"/>
                          </a:xfrm>
                          <a:prstGeom prst="rect">
                            <a:avLst/>
                          </a:prstGeom>
                          <a:noFill/>
                          <a:ln>
                            <a:noFill/>
                          </a:ln>
                        </pic:spPr>
                      </pic:pic>
                    </a:graphicData>
                  </a:graphic>
                </wp:inline>
              </w:drawing>
            </w:r>
          </w:p>
        </w:tc>
        <w:tc>
          <w:tcPr>
            <w:tcW w:w="2081"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1295400" cy="11144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7"/>
                          <a:stretch>
                            <a:fillRect/>
                          </a:stretch>
                        </pic:blipFill>
                        <pic:spPr>
                          <a:xfrm>
                            <a:off x="0" y="0"/>
                            <a:ext cx="1295400" cy="1114425"/>
                          </a:xfrm>
                          <a:prstGeom prst="rect">
                            <a:avLst/>
                          </a:prstGeom>
                          <a:noFill/>
                          <a:ln>
                            <a:noFill/>
                          </a:ln>
                        </pic:spPr>
                      </pic:pic>
                    </a:graphicData>
                  </a:graphic>
                </wp:inline>
              </w:drawing>
            </w:r>
          </w:p>
        </w:tc>
        <w:tc>
          <w:tcPr>
            <w:tcW w:w="146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气排放口</w:t>
            </w:r>
          </w:p>
        </w:tc>
        <w:tc>
          <w:tcPr>
            <w:tcW w:w="2789"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0"/>
                <w:szCs w:val="20"/>
              </w:rPr>
            </w:pPr>
            <w:r>
              <w:rPr>
                <w:rFonts w:ascii="宋体" w:hAnsi="宋体" w:eastAsia="宋体" w:cs="宋体"/>
                <w:spacing w:val="11"/>
                <w:sz w:val="20"/>
                <w:szCs w:val="20"/>
              </w:rPr>
              <w:t>表</w:t>
            </w:r>
            <w:r>
              <w:rPr>
                <w:rFonts w:ascii="宋体" w:hAnsi="宋体" w:eastAsia="宋体" w:cs="宋体"/>
                <w:spacing w:val="9"/>
                <w:sz w:val="20"/>
                <w:szCs w:val="20"/>
              </w:rPr>
              <w:t>示废气向大气环境排放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jc w:val="center"/>
        </w:trPr>
        <w:tc>
          <w:tcPr>
            <w:tcW w:w="58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9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845185" cy="852805"/>
                  <wp:effectExtent l="0" t="0" r="12065" b="4445"/>
                  <wp:docPr id="13" name="图片 7"/>
                  <wp:cNvGraphicFramePr/>
                  <a:graphic xmlns:a="http://schemas.openxmlformats.org/drawingml/2006/main">
                    <a:graphicData uri="http://schemas.openxmlformats.org/drawingml/2006/picture">
                      <pic:pic xmlns:pic="http://schemas.openxmlformats.org/drawingml/2006/picture">
                        <pic:nvPicPr>
                          <pic:cNvPr id="13" name="图片 7"/>
                          <pic:cNvPicPr/>
                        </pic:nvPicPr>
                        <pic:blipFill>
                          <a:blip r:embed="rId28"/>
                          <a:stretch>
                            <a:fillRect/>
                          </a:stretch>
                        </pic:blipFill>
                        <pic:spPr>
                          <a:xfrm>
                            <a:off x="0" y="0"/>
                            <a:ext cx="845185" cy="852805"/>
                          </a:xfrm>
                          <a:prstGeom prst="rect">
                            <a:avLst/>
                          </a:prstGeom>
                          <a:noFill/>
                          <a:ln>
                            <a:noFill/>
                          </a:ln>
                        </pic:spPr>
                      </pic:pic>
                    </a:graphicData>
                  </a:graphic>
                </wp:inline>
              </w:drawing>
            </w:r>
          </w:p>
        </w:tc>
        <w:tc>
          <w:tcPr>
            <w:tcW w:w="2081"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914400" cy="852805"/>
                  <wp:effectExtent l="0" t="0" r="0" b="4445"/>
                  <wp:docPr id="20" name="图片 8"/>
                  <wp:cNvGraphicFramePr/>
                  <a:graphic xmlns:a="http://schemas.openxmlformats.org/drawingml/2006/main">
                    <a:graphicData uri="http://schemas.openxmlformats.org/drawingml/2006/picture">
                      <pic:pic xmlns:pic="http://schemas.openxmlformats.org/drawingml/2006/picture">
                        <pic:nvPicPr>
                          <pic:cNvPr id="20" name="图片 8"/>
                          <pic:cNvPicPr/>
                        </pic:nvPicPr>
                        <pic:blipFill>
                          <a:blip r:embed="rId29"/>
                          <a:stretch>
                            <a:fillRect/>
                          </a:stretch>
                        </pic:blipFill>
                        <pic:spPr>
                          <a:xfrm>
                            <a:off x="0" y="0"/>
                            <a:ext cx="914400" cy="852805"/>
                          </a:xfrm>
                          <a:prstGeom prst="rect">
                            <a:avLst/>
                          </a:prstGeom>
                          <a:noFill/>
                          <a:ln>
                            <a:noFill/>
                          </a:ln>
                        </pic:spPr>
                      </pic:pic>
                    </a:graphicData>
                  </a:graphic>
                </wp:inline>
              </w:drawing>
            </w:r>
          </w:p>
        </w:tc>
        <w:tc>
          <w:tcPr>
            <w:tcW w:w="146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0"/>
                <w:szCs w:val="20"/>
              </w:rPr>
            </w:pPr>
            <w:r>
              <w:rPr>
                <w:rFonts w:ascii="宋体" w:hAnsi="宋体" w:eastAsia="宋体" w:cs="宋体"/>
                <w:spacing w:val="9"/>
                <w:sz w:val="20"/>
                <w:szCs w:val="20"/>
              </w:rPr>
              <w:t>一</w:t>
            </w:r>
            <w:r>
              <w:rPr>
                <w:rFonts w:ascii="宋体" w:hAnsi="宋体" w:eastAsia="宋体" w:cs="宋体"/>
                <w:spacing w:val="7"/>
                <w:sz w:val="20"/>
                <w:szCs w:val="20"/>
              </w:rPr>
              <w:t>般固体废</w:t>
            </w:r>
            <w:r>
              <w:rPr>
                <w:rFonts w:ascii="宋体" w:hAnsi="宋体" w:eastAsia="宋体" w:cs="宋体"/>
                <w:sz w:val="20"/>
                <w:szCs w:val="20"/>
              </w:rPr>
              <w:t>物</w:t>
            </w:r>
          </w:p>
        </w:tc>
        <w:tc>
          <w:tcPr>
            <w:tcW w:w="2789"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0"/>
                <w:szCs w:val="20"/>
              </w:rPr>
            </w:pPr>
            <w:r>
              <w:rPr>
                <w:rFonts w:ascii="宋体" w:hAnsi="宋体" w:eastAsia="宋体" w:cs="宋体"/>
                <w:spacing w:val="11"/>
                <w:sz w:val="20"/>
                <w:szCs w:val="20"/>
              </w:rPr>
              <w:t>表</w:t>
            </w:r>
            <w:r>
              <w:rPr>
                <w:rFonts w:ascii="宋体" w:hAnsi="宋体" w:eastAsia="宋体" w:cs="宋体"/>
                <w:spacing w:val="9"/>
                <w:sz w:val="20"/>
                <w:szCs w:val="20"/>
              </w:rPr>
              <w:t>示一般固体废物贮存、处</w:t>
            </w:r>
            <w:r>
              <w:rPr>
                <w:rFonts w:ascii="宋体" w:hAnsi="宋体" w:eastAsia="宋体" w:cs="宋体"/>
                <w:spacing w:val="6"/>
                <w:sz w:val="20"/>
                <w:szCs w:val="20"/>
              </w:rPr>
              <w:t>置</w:t>
            </w:r>
            <w:r>
              <w:rPr>
                <w:rFonts w:ascii="宋体" w:hAnsi="宋体" w:eastAsia="宋体" w:cs="宋体"/>
                <w:spacing w:val="5"/>
                <w:sz w:val="20"/>
                <w:szCs w:val="20"/>
              </w:rPr>
              <w:t>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jc w:val="center"/>
        </w:trPr>
        <w:tc>
          <w:tcPr>
            <w:tcW w:w="58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9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845185" cy="845820"/>
                  <wp:effectExtent l="0" t="0" r="12065" b="11430"/>
                  <wp:docPr id="11" name="图片 9"/>
                  <wp:cNvGraphicFramePr/>
                  <a:graphic xmlns:a="http://schemas.openxmlformats.org/drawingml/2006/main">
                    <a:graphicData uri="http://schemas.openxmlformats.org/drawingml/2006/picture">
                      <pic:pic xmlns:pic="http://schemas.openxmlformats.org/drawingml/2006/picture">
                        <pic:nvPicPr>
                          <pic:cNvPr id="11" name="图片 9"/>
                          <pic:cNvPicPr/>
                        </pic:nvPicPr>
                        <pic:blipFill>
                          <a:blip r:embed="rId30"/>
                          <a:stretch>
                            <a:fillRect/>
                          </a:stretch>
                        </pic:blipFill>
                        <pic:spPr>
                          <a:xfrm>
                            <a:off x="0" y="0"/>
                            <a:ext cx="845185" cy="845820"/>
                          </a:xfrm>
                          <a:prstGeom prst="rect">
                            <a:avLst/>
                          </a:prstGeom>
                          <a:noFill/>
                          <a:ln>
                            <a:noFill/>
                          </a:ln>
                        </pic:spPr>
                      </pic:pic>
                    </a:graphicData>
                  </a:graphic>
                </wp:inline>
              </w:drawing>
            </w:r>
          </w:p>
        </w:tc>
        <w:tc>
          <w:tcPr>
            <w:tcW w:w="2081"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pPr>
            <w:r>
              <w:drawing>
                <wp:inline distT="0" distB="0" distL="114300" distR="114300">
                  <wp:extent cx="949325" cy="845820"/>
                  <wp:effectExtent l="0" t="0" r="3175" b="11430"/>
                  <wp:docPr id="18" name="图片 10"/>
                  <wp:cNvGraphicFramePr/>
                  <a:graphic xmlns:a="http://schemas.openxmlformats.org/drawingml/2006/main">
                    <a:graphicData uri="http://schemas.openxmlformats.org/drawingml/2006/picture">
                      <pic:pic xmlns:pic="http://schemas.openxmlformats.org/drawingml/2006/picture">
                        <pic:nvPicPr>
                          <pic:cNvPr id="18" name="图片 10"/>
                          <pic:cNvPicPr/>
                        </pic:nvPicPr>
                        <pic:blipFill>
                          <a:blip r:embed="rId31"/>
                          <a:stretch>
                            <a:fillRect/>
                          </a:stretch>
                        </pic:blipFill>
                        <pic:spPr>
                          <a:xfrm>
                            <a:off x="0" y="0"/>
                            <a:ext cx="949325" cy="845820"/>
                          </a:xfrm>
                          <a:prstGeom prst="rect">
                            <a:avLst/>
                          </a:prstGeom>
                          <a:noFill/>
                          <a:ln>
                            <a:noFill/>
                          </a:ln>
                        </pic:spPr>
                      </pic:pic>
                    </a:graphicData>
                  </a:graphic>
                </wp:inline>
              </w:drawing>
            </w:r>
          </w:p>
        </w:tc>
        <w:tc>
          <w:tcPr>
            <w:tcW w:w="146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0"/>
                <w:szCs w:val="20"/>
              </w:rPr>
            </w:pPr>
            <w:r>
              <w:rPr>
                <w:rFonts w:ascii="宋体" w:hAnsi="宋体" w:eastAsia="宋体" w:cs="宋体"/>
                <w:spacing w:val="6"/>
                <w:sz w:val="20"/>
                <w:szCs w:val="20"/>
              </w:rPr>
              <w:t>噪声排放源</w:t>
            </w:r>
          </w:p>
        </w:tc>
        <w:tc>
          <w:tcPr>
            <w:tcW w:w="2789"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sz w:val="20"/>
                <w:szCs w:val="20"/>
              </w:rPr>
            </w:pPr>
            <w:r>
              <w:rPr>
                <w:rFonts w:ascii="宋体" w:hAnsi="宋体" w:eastAsia="宋体" w:cs="宋体"/>
                <w:spacing w:val="9"/>
                <w:sz w:val="20"/>
                <w:szCs w:val="20"/>
              </w:rPr>
              <w:t>表示噪声向外环境排放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jc w:val="center"/>
        </w:trPr>
        <w:tc>
          <w:tcPr>
            <w:tcW w:w="582" w:type="dxa"/>
            <w:tcBorders>
              <w:left w:val="nil"/>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9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sz w:val="21"/>
              </w:rPr>
            </w:pPr>
          </w:p>
        </w:tc>
        <w:tc>
          <w:tcPr>
            <w:tcW w:w="2081"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center"/>
              <w:rPr>
                <w:color w:val="auto"/>
              </w:rPr>
            </w:pPr>
            <w:r>
              <w:drawing>
                <wp:inline distT="0" distB="0" distL="114300" distR="114300">
                  <wp:extent cx="1005840" cy="822325"/>
                  <wp:effectExtent l="0" t="0" r="381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2"/>
                          <a:stretch>
                            <a:fillRect/>
                          </a:stretch>
                        </pic:blipFill>
                        <pic:spPr>
                          <a:xfrm>
                            <a:off x="0" y="0"/>
                            <a:ext cx="1005840" cy="822325"/>
                          </a:xfrm>
                          <a:prstGeom prst="rect">
                            <a:avLst/>
                          </a:prstGeom>
                          <a:noFill/>
                          <a:ln>
                            <a:noFill/>
                          </a:ln>
                        </pic:spPr>
                      </pic:pic>
                    </a:graphicData>
                  </a:graphic>
                </wp:inline>
              </w:drawing>
            </w:r>
          </w:p>
        </w:tc>
        <w:tc>
          <w:tcPr>
            <w:tcW w:w="146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color w:val="auto"/>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color w:val="auto"/>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color w:val="auto"/>
                <w:sz w:val="20"/>
                <w:szCs w:val="20"/>
              </w:rPr>
            </w:pPr>
            <w:r>
              <w:rPr>
                <w:rFonts w:ascii="宋体" w:hAnsi="宋体" w:eastAsia="宋体" w:cs="宋体"/>
                <w:color w:val="auto"/>
                <w:spacing w:val="9"/>
                <w:sz w:val="20"/>
                <w:szCs w:val="20"/>
              </w:rPr>
              <w:t>危</w:t>
            </w:r>
            <w:r>
              <w:rPr>
                <w:rFonts w:ascii="宋体" w:hAnsi="宋体" w:eastAsia="宋体" w:cs="宋体"/>
                <w:color w:val="auto"/>
                <w:spacing w:val="6"/>
                <w:sz w:val="20"/>
                <w:szCs w:val="20"/>
              </w:rPr>
              <w:t>险废物</w:t>
            </w:r>
          </w:p>
        </w:tc>
        <w:tc>
          <w:tcPr>
            <w:tcW w:w="2789" w:type="dxa"/>
            <w:tcBorders>
              <w:left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color w:val="auto"/>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Arial"/>
                <w:color w:val="auto"/>
                <w:sz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ascii="宋体" w:hAnsi="宋体" w:eastAsia="宋体" w:cs="宋体"/>
                <w:color w:val="auto"/>
                <w:sz w:val="20"/>
                <w:szCs w:val="20"/>
              </w:rPr>
            </w:pPr>
            <w:r>
              <w:rPr>
                <w:rFonts w:ascii="宋体" w:hAnsi="宋体" w:eastAsia="宋体" w:cs="宋体"/>
                <w:color w:val="auto"/>
                <w:spacing w:val="11"/>
                <w:sz w:val="20"/>
                <w:szCs w:val="20"/>
              </w:rPr>
              <w:t>表</w:t>
            </w:r>
            <w:r>
              <w:rPr>
                <w:rFonts w:ascii="宋体" w:hAnsi="宋体" w:eastAsia="宋体" w:cs="宋体"/>
                <w:color w:val="auto"/>
                <w:spacing w:val="9"/>
                <w:sz w:val="20"/>
                <w:szCs w:val="20"/>
              </w:rPr>
              <w:t>示危险废物贮存、处置场</w:t>
            </w:r>
          </w:p>
        </w:tc>
      </w:tr>
    </w:tbl>
    <w:p>
      <w:pPr>
        <w:pStyle w:val="3"/>
        <w:rPr>
          <w:rFonts w:cs="Times New Roman"/>
        </w:rPr>
      </w:pPr>
      <w:bookmarkStart w:id="53" w:name="_Toc2236"/>
      <w:r>
        <w:rPr>
          <w:rFonts w:cs="Times New Roman"/>
        </w:rPr>
        <w:t>4.3环保设施投资及</w:t>
      </w:r>
      <w:r>
        <w:rPr>
          <w:rFonts w:hint="eastAsia" w:cs="Times New Roman"/>
          <w:lang w:eastAsia="zh-CN"/>
        </w:rPr>
        <w:t>“</w:t>
      </w:r>
      <w:r>
        <w:rPr>
          <w:rFonts w:cs="Times New Roman"/>
        </w:rPr>
        <w:t>三同时</w:t>
      </w:r>
      <w:r>
        <w:rPr>
          <w:rFonts w:hint="eastAsia" w:cs="Times New Roman"/>
          <w:lang w:eastAsia="zh-CN"/>
        </w:rPr>
        <w:t>”</w:t>
      </w:r>
      <w:r>
        <w:rPr>
          <w:rFonts w:cs="Times New Roman"/>
        </w:rPr>
        <w:t>落实情况</w:t>
      </w:r>
      <w:bookmarkEnd w:id="53"/>
    </w:p>
    <w:p>
      <w:pPr>
        <w:pStyle w:val="4"/>
        <w:rPr>
          <w:rFonts w:hint="eastAsia" w:eastAsia="宋体" w:cs="Times New Roman"/>
          <w:lang w:eastAsia="zh-CN"/>
        </w:rPr>
      </w:pPr>
      <w:bookmarkStart w:id="54" w:name="_Toc3392"/>
      <w:r>
        <w:rPr>
          <w:rFonts w:cs="Times New Roman"/>
        </w:rPr>
        <w:t>4.3.1环保设施投资</w:t>
      </w:r>
      <w:bookmarkEnd w:id="54"/>
    </w:p>
    <w:p>
      <w:pPr>
        <w:ind w:firstLine="480"/>
      </w:pPr>
      <w:r>
        <w:t>本项目</w:t>
      </w:r>
      <w:r>
        <w:rPr>
          <w:rFonts w:hint="eastAsia"/>
        </w:rPr>
        <w:t>环评阶段设计</w:t>
      </w:r>
      <w:r>
        <w:t>总投资</w:t>
      </w:r>
      <w:r>
        <w:rPr>
          <w:rFonts w:hint="eastAsia"/>
        </w:rPr>
        <w:t>18301万元，环保投资318</w:t>
      </w:r>
      <w:r>
        <w:t>万元</w:t>
      </w:r>
      <w:r>
        <w:rPr>
          <w:rFonts w:hint="eastAsia"/>
        </w:rPr>
        <w:t>。</w:t>
      </w:r>
    </w:p>
    <w:p>
      <w:pPr>
        <w:pStyle w:val="4"/>
      </w:pPr>
      <w:bookmarkStart w:id="55" w:name="_Toc18127"/>
      <w:bookmarkStart w:id="56" w:name="_Toc21062"/>
      <w:bookmarkStart w:id="57" w:name="_Toc18915020"/>
      <w:bookmarkStart w:id="58" w:name="_Toc5899"/>
      <w:r>
        <w:rPr>
          <w:rFonts w:hint="eastAsia"/>
        </w:rPr>
        <w:t>4</w:t>
      </w:r>
      <w:r>
        <w:t>.3.2</w:t>
      </w:r>
      <w:r>
        <w:rPr>
          <w:rFonts w:hint="eastAsia"/>
        </w:rPr>
        <w:t>环境保护</w:t>
      </w:r>
      <w:r>
        <w:rPr>
          <w:rFonts w:hint="eastAsia"/>
          <w:lang w:eastAsia="zh-CN"/>
        </w:rPr>
        <w:t>“</w:t>
      </w:r>
      <w:r>
        <w:rPr>
          <w:rFonts w:hint="eastAsia"/>
        </w:rPr>
        <w:t>三同时</w:t>
      </w:r>
      <w:r>
        <w:rPr>
          <w:rFonts w:hint="eastAsia"/>
          <w:lang w:eastAsia="zh-CN"/>
        </w:rPr>
        <w:t>”</w:t>
      </w:r>
      <w:r>
        <w:rPr>
          <w:rFonts w:hint="eastAsia"/>
        </w:rPr>
        <w:t>落实情况</w:t>
      </w:r>
      <w:bookmarkEnd w:id="55"/>
      <w:bookmarkEnd w:id="56"/>
      <w:bookmarkEnd w:id="57"/>
      <w:bookmarkEnd w:id="58"/>
    </w:p>
    <w:p>
      <w:pPr>
        <w:ind w:firstLine="480"/>
        <w:rPr>
          <w:rFonts w:cs="Times New Roman"/>
          <w:lang w:val="zh-CN"/>
        </w:rPr>
      </w:pPr>
      <w:r>
        <w:rPr>
          <w:rFonts w:cs="Times New Roman"/>
          <w:lang w:val="zh-CN"/>
        </w:rPr>
        <w:t>本项目环境保护设施</w:t>
      </w:r>
      <w:r>
        <w:rPr>
          <w:rFonts w:hint="eastAsia" w:cs="Times New Roman"/>
          <w:lang w:val="zh-CN"/>
        </w:rPr>
        <w:t>“</w:t>
      </w:r>
      <w:r>
        <w:rPr>
          <w:rFonts w:cs="Times New Roman"/>
          <w:lang w:val="zh-CN"/>
        </w:rPr>
        <w:t>三同时</w:t>
      </w:r>
      <w:r>
        <w:rPr>
          <w:rFonts w:hint="eastAsia" w:cs="Times New Roman"/>
          <w:lang w:val="zh-CN"/>
        </w:rPr>
        <w:t>”</w:t>
      </w:r>
      <w:r>
        <w:rPr>
          <w:rFonts w:cs="Times New Roman"/>
          <w:lang w:val="zh-CN"/>
        </w:rPr>
        <w:t>验收内容及验收要求详见表</w:t>
      </w:r>
      <w:r>
        <w:rPr>
          <w:rFonts w:hint="eastAsia" w:cs="Times New Roman"/>
        </w:rPr>
        <w:t>4.3</w:t>
      </w:r>
      <w:r>
        <w:rPr>
          <w:rFonts w:cs="Times New Roman"/>
          <w:lang w:val="zh-CN"/>
        </w:rPr>
        <w:t>-</w:t>
      </w:r>
      <w:r>
        <w:rPr>
          <w:rFonts w:hint="eastAsia" w:cs="Times New Roman"/>
        </w:rPr>
        <w:t>1</w:t>
      </w:r>
      <w:r>
        <w:rPr>
          <w:rFonts w:cs="Times New Roman"/>
          <w:lang w:val="zh-CN"/>
        </w:rPr>
        <w:t>。</w:t>
      </w:r>
    </w:p>
    <w:p>
      <w:pPr>
        <w:pStyle w:val="63"/>
        <w:ind w:firstLine="361" w:firstLineChars="150"/>
        <w:jc w:val="center"/>
        <w:rPr>
          <w:rFonts w:hint="eastAsia" w:ascii="宋体" w:hAnsi="宋体" w:eastAsia="宋体" w:cs="宋体"/>
          <w:b/>
          <w:bCs/>
          <w:lang w:val="zh-CN"/>
        </w:rPr>
      </w:pPr>
      <w:r>
        <w:rPr>
          <w:rFonts w:hint="eastAsia" w:ascii="宋体" w:hAnsi="宋体" w:eastAsia="宋体" w:cs="宋体"/>
          <w:b/>
          <w:bCs/>
          <w:lang w:eastAsia="zh-CN"/>
        </w:rPr>
        <w:t>表4.3-2        环境保护措施落实情况一览表</w:t>
      </w:r>
    </w:p>
    <w:tbl>
      <w:tblPr>
        <w:tblStyle w:val="23"/>
        <w:tblW w:w="86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80"/>
        <w:gridCol w:w="639"/>
        <w:gridCol w:w="1000"/>
        <w:gridCol w:w="2000"/>
        <w:gridCol w:w="1817"/>
        <w:gridCol w:w="28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5" w:hRule="atLeast"/>
        </w:trPr>
        <w:tc>
          <w:tcPr>
            <w:tcW w:w="380"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序号</w:t>
            </w:r>
          </w:p>
        </w:tc>
        <w:tc>
          <w:tcPr>
            <w:tcW w:w="163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类别</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环保工程</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实际落实情况</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效果及要求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24" w:hRule="atLeast"/>
        </w:trPr>
        <w:tc>
          <w:tcPr>
            <w:tcW w:w="380" w:type="dxa"/>
            <w:vMerge w:val="restar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大气</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污染</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防治</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颗粒物</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有组织）</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1#及2#造纸车间共设置2套袋式除尘器，含尘废气由两根15m高的排气筒排放。</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1#及2#造纸车间共设置2套袋式除尘器，含尘废气由两根15m高的排气筒排放。</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已落实，经监测能够达到《大气污染物综合排放标准》</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GB16297-1996）表2标准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5"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颗粒物</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无组织）</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已落实，经监测能够达到大气污染物综合排放标准》</w:t>
            </w:r>
            <w:r>
              <w:rPr>
                <w:rFonts w:hint="eastAsia" w:ascii="宋体" w:hAnsi="宋体" w:eastAsia="宋体" w:cs="宋体"/>
                <w:color w:val="000000"/>
                <w:kern w:val="0"/>
                <w:sz w:val="21"/>
                <w:szCs w:val="21"/>
                <w:lang w:val="en-US" w:eastAsia="zh-CN" w:bidi="ar"/>
              </w:rPr>
              <w:br w:type="textWrapping"/>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GB16297-1996）表2无组织排放标准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5" w:hRule="atLeast"/>
        </w:trPr>
        <w:tc>
          <w:tcPr>
            <w:tcW w:w="380" w:type="dxa"/>
            <w:vMerge w:val="restar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废水</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污染</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治理</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生活污水</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化粪池处理后排入园区污水管网</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化粪池处理后排入园区污水管网</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化粪池处理后排入园区污水管网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5"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造纸白水</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进入白水回收系统处理后回用</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进入白水回收系统处理后回用</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24"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真空泵水封废水</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进入厂区污水处理站处理后，中水回用，余水排入纺织服装城污水处理</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进入厂区污水处理站处理后，中水回用，余水排入纺织服装城污水处理</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《制浆造纸工业水污染物排放标准》</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GB3544-2008）中表2新建企业污染物排放限值〔制浆和造纸联合生产企业</w:t>
            </w:r>
            <w:r>
              <w:rPr>
                <w:rFonts w:hint="eastAsia" w:ascii="宋体" w:hAnsi="宋体" w:cs="宋体"/>
                <w:color w:val="000000"/>
                <w:kern w:val="0"/>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烘缸冷凝水</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回收送热电车间</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回收送热电车间</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55" w:hRule="atLeast"/>
        </w:trPr>
        <w:tc>
          <w:tcPr>
            <w:tcW w:w="380"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噪声</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治理</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生产设备、风机</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和泵类</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消声、减震、绿化等</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消声、减震、绿化等</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《工业企业厂界噪声排放标准》</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GB12348-2008</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中的3类标准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3" w:hRule="atLeast"/>
        </w:trPr>
        <w:tc>
          <w:tcPr>
            <w:tcW w:w="380" w:type="dxa"/>
            <w:vMerge w:val="restar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固废</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浆渣</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外售</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外售</w:t>
            </w:r>
          </w:p>
        </w:tc>
        <w:tc>
          <w:tcPr>
            <w:tcW w:w="2833" w:type="dxa"/>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满足《一般工业固体废物贮存</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和填埋污染控制标准</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GB18599-2020要求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55"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废毛布、废聚酯</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网</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外售</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外售</w:t>
            </w:r>
          </w:p>
        </w:tc>
        <w:tc>
          <w:tcPr>
            <w:tcW w:w="2833" w:type="dxa"/>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55"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回收纸尘、损纸</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返回损纸处理工序处理后送抄纸工段配浆</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返回损纸处理工序处理后送抄纸工段配浆</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5"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白水回收纤维</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返回配浆工序</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返回配浆工序</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5"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废油、废油桶</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暂存厂区危废间，委托有</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资质单位处置</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暂存厂区危废间，委托有</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资质单位处置</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《危险废物贮存污染控制标准》</w:t>
            </w:r>
            <w:r>
              <w:rPr>
                <w:rFonts w:hint="eastAsia" w:ascii="宋体" w:hAnsi="宋体" w:cs="宋体"/>
                <w:color w:val="000000"/>
                <w:sz w:val="21"/>
                <w:szCs w:val="21"/>
                <w:lang w:val="en-US" w:eastAsia="zh-CN" w:bidi="ar-SA"/>
              </w:rPr>
              <w:t>（</w:t>
            </w:r>
            <w:r>
              <w:rPr>
                <w:rFonts w:hint="eastAsia" w:ascii="宋体" w:hAnsi="宋体" w:eastAsia="宋体" w:cs="宋体"/>
                <w:color w:val="000000"/>
                <w:sz w:val="21"/>
                <w:szCs w:val="21"/>
                <w:lang w:val="en-US" w:eastAsia="zh-CN" w:bidi="ar-SA"/>
              </w:rPr>
              <w:t>GB18597-2023）中要求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19" w:hRule="atLeast"/>
        </w:trPr>
        <w:tc>
          <w:tcPr>
            <w:tcW w:w="380" w:type="dxa"/>
            <w:vMerge w:val="restar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5</w:t>
            </w:r>
          </w:p>
        </w:tc>
        <w:tc>
          <w:tcPr>
            <w:tcW w:w="163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其他</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排污口规范化整治</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排污口规范化整治</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环境保护图形标志—排放口源</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GB15562.1-1995</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环境保护图形标志—固体废物贮存〔处置）场，GB15562.2-1995</w:t>
            </w:r>
            <w:r>
              <w:rPr>
                <w:rFonts w:hint="eastAsia" w:ascii="宋体" w:hAnsi="宋体" w:cs="宋体"/>
                <w:color w:val="000000"/>
                <w:kern w:val="0"/>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6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地下水监控井</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地下水监控井</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厂址下游布设1口监控并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6" w:hRule="atLeast"/>
        </w:trPr>
        <w:tc>
          <w:tcPr>
            <w:tcW w:w="380" w:type="dxa"/>
            <w:vMerge w:val="continue"/>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16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ind w:firstLine="0" w:firstLineChars="0"/>
              <w:jc w:val="center"/>
              <w:rPr>
                <w:rFonts w:hint="eastAsia" w:ascii="宋体" w:hAnsi="宋体" w:eastAsia="宋体" w:cs="宋体"/>
                <w:color w:val="000000"/>
                <w:sz w:val="21"/>
                <w:szCs w:val="21"/>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事故池</w:t>
            </w:r>
          </w:p>
        </w:tc>
        <w:tc>
          <w:tcPr>
            <w:tcW w:w="1817"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依托原有应急事故池</w:t>
            </w:r>
          </w:p>
        </w:tc>
        <w:tc>
          <w:tcPr>
            <w:tcW w:w="2833"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
              </w:rPr>
              <w:t>按照以</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以新带老</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要求,设置事故池</w:t>
            </w:r>
          </w:p>
        </w:tc>
      </w:tr>
    </w:tbl>
    <w:p>
      <w:pPr>
        <w:ind w:firstLine="480"/>
        <w:rPr>
          <w:rFonts w:cs="Times New Roman"/>
          <w:lang w:val="zh-CN"/>
        </w:rPr>
      </w:pPr>
    </w:p>
    <w:p>
      <w:pPr>
        <w:ind w:left="0" w:leftChars="0" w:firstLine="0" w:firstLineChars="0"/>
        <w:rPr>
          <w:rFonts w:cs="Times New Roman"/>
          <w:lang w:val="zh-CN"/>
        </w:rPr>
        <w:sectPr>
          <w:footerReference r:id="rId9" w:type="default"/>
          <w:pgSz w:w="11906" w:h="16838"/>
          <w:pgMar w:top="1418" w:right="1588" w:bottom="1418" w:left="1418" w:header="851" w:footer="992" w:gutter="0"/>
          <w:pgNumType w:fmt="decimal"/>
          <w:cols w:space="425" w:num="1"/>
          <w:docGrid w:type="lines" w:linePitch="326" w:charSpace="0"/>
        </w:sectPr>
      </w:pPr>
    </w:p>
    <w:p>
      <w:pPr>
        <w:pStyle w:val="2"/>
        <w:rPr>
          <w:rFonts w:cs="Times New Roman"/>
        </w:rPr>
      </w:pPr>
      <w:bookmarkStart w:id="59" w:name="_Toc17746"/>
      <w:r>
        <w:rPr>
          <w:rFonts w:cs="Times New Roman"/>
        </w:rPr>
        <w:t>5.环境影响报告书</w:t>
      </w:r>
      <w:r>
        <w:rPr>
          <w:rFonts w:hint="eastAsia" w:cs="Times New Roman"/>
          <w:lang w:eastAsia="zh-CN"/>
        </w:rPr>
        <w:t>（</w:t>
      </w:r>
      <w:r>
        <w:rPr>
          <w:rFonts w:cs="Times New Roman"/>
        </w:rPr>
        <w:t>表）主要结论与建议及其审批部门审批决定</w:t>
      </w:r>
      <w:bookmarkEnd w:id="59"/>
    </w:p>
    <w:p>
      <w:pPr>
        <w:pStyle w:val="3"/>
      </w:pPr>
      <w:bookmarkStart w:id="60" w:name="_Toc18915022"/>
      <w:bookmarkStart w:id="61" w:name="_Toc1898"/>
      <w:bookmarkStart w:id="62" w:name="_Toc25211"/>
      <w:r>
        <w:rPr>
          <w:rFonts w:hint="eastAsia"/>
        </w:rPr>
        <w:t>5</w:t>
      </w:r>
      <w:r>
        <w:t>.</w:t>
      </w:r>
      <w:r>
        <w:rPr>
          <w:rFonts w:hint="eastAsia"/>
        </w:rPr>
        <w:t>1环境影响报告书</w:t>
      </w:r>
      <w:r>
        <w:rPr>
          <w:rFonts w:hint="eastAsia"/>
          <w:lang w:eastAsia="zh-CN"/>
        </w:rPr>
        <w:t>（</w:t>
      </w:r>
      <w:r>
        <w:rPr>
          <w:rFonts w:hint="eastAsia"/>
        </w:rPr>
        <w:t>表）主要结论与建议</w:t>
      </w:r>
      <w:bookmarkEnd w:id="60"/>
      <w:bookmarkEnd w:id="61"/>
      <w:bookmarkEnd w:id="62"/>
    </w:p>
    <w:p>
      <w:pPr>
        <w:pStyle w:val="4"/>
        <w:ind w:firstLine="482" w:firstLineChars="200"/>
      </w:pPr>
      <w:bookmarkStart w:id="63" w:name="_Toc3012"/>
      <w:bookmarkStart w:id="64" w:name="_Toc12853"/>
      <w:bookmarkStart w:id="65" w:name="_Toc30491"/>
      <w:bookmarkStart w:id="66" w:name="_Toc18915024"/>
      <w:r>
        <w:rPr>
          <w:rFonts w:hint="eastAsia"/>
        </w:rPr>
        <w:t>5.1.1</w:t>
      </w:r>
      <w:r>
        <w:t>建设项目概况</w:t>
      </w:r>
      <w:bookmarkEnd w:id="63"/>
      <w:bookmarkEnd w:id="64"/>
    </w:p>
    <w:p>
      <w:pPr>
        <w:bidi w:val="0"/>
        <w:rPr>
          <w:rFonts w:hint="default" w:ascii="Times New Roman" w:hAnsi="Times New Roman" w:cs="Times New Roman"/>
          <w:lang w:eastAsia="zh-CN"/>
        </w:rPr>
      </w:pPr>
      <w:bookmarkStart w:id="67" w:name="_Toc524431485"/>
      <w:bookmarkStart w:id="68" w:name="_Toc27361_WPSOffice_Level2"/>
      <w:r>
        <w:rPr>
          <w:rFonts w:hint="default" w:ascii="Times New Roman" w:hAnsi="Times New Roman" w:cs="Times New Roman"/>
          <w:lang w:eastAsia="zh-CN"/>
        </w:rPr>
        <w:t>新疆中泰兴苇生物科技有限公司项目位于库尔勒经济技术开发区-库尔勒纺织服装配套暨冀疆合作区，新疆中泰兴苇生物科技有限公司现有厂区内，厂址中心地理坐标：东经86°18′34.27″，北纬41°31′48.62″。建设内容：项目占地面积12951.2m</w:t>
      </w:r>
      <w:r>
        <w:rPr>
          <w:rFonts w:hint="default" w:ascii="Times New Roman" w:hAnsi="Times New Roman" w:cs="Times New Roman"/>
          <w:vertAlign w:val="superscript"/>
          <w:lang w:eastAsia="zh-CN"/>
        </w:rPr>
        <w:t>2</w:t>
      </w:r>
      <w:r>
        <w:rPr>
          <w:rFonts w:hint="default" w:ascii="Times New Roman" w:hAnsi="Times New Roman" w:cs="Times New Roman"/>
          <w:lang w:eastAsia="zh-CN"/>
        </w:rPr>
        <w:t>，新建日产125吨生活用纸生产线和成品库，其中日产25吨生活用纸生产车间利用现有检修厂房进行改造，100吨生活用纸生产车间为新建。本项目供水、供汽、供电等公用设施依托厂区现有工程。</w:t>
      </w:r>
    </w:p>
    <w:p>
      <w:pPr>
        <w:pStyle w:val="43"/>
        <w:ind w:firstLine="480"/>
        <w:rPr>
          <w:rFonts w:hint="eastAsia" w:cs="Times New Roman"/>
          <w:lang w:eastAsia="zh-CN"/>
        </w:rPr>
      </w:pPr>
      <w:r>
        <w:rPr>
          <w:rFonts w:hint="eastAsia" w:cs="Times New Roman"/>
          <w:lang w:eastAsia="zh-CN"/>
        </w:rPr>
        <w:t>项目性质：改建</w:t>
      </w:r>
    </w:p>
    <w:p>
      <w:pPr>
        <w:pStyle w:val="43"/>
        <w:ind w:firstLine="480"/>
        <w:rPr>
          <w:rFonts w:hint="eastAsia" w:cs="Times New Roman"/>
          <w:lang w:eastAsia="zh-CN"/>
        </w:rPr>
      </w:pPr>
      <w:r>
        <w:rPr>
          <w:rFonts w:hint="eastAsia" w:cs="Times New Roman"/>
          <w:lang w:eastAsia="zh-CN"/>
        </w:rPr>
        <w:t>项目总投资：18301万元，其中环保投资318万元，占总投资18301万元的1.74%。</w:t>
      </w:r>
    </w:p>
    <w:p>
      <w:pPr>
        <w:pStyle w:val="43"/>
        <w:ind w:firstLine="480"/>
        <w:rPr>
          <w:rFonts w:hint="eastAsia" w:cs="Times New Roman"/>
          <w:lang w:eastAsia="zh-CN"/>
        </w:rPr>
      </w:pPr>
      <w:r>
        <w:rPr>
          <w:rFonts w:hint="eastAsia" w:cs="Times New Roman"/>
          <w:lang w:eastAsia="zh-CN"/>
        </w:rPr>
        <w:t>劳动定员：本项目新增劳动人数135人。</w:t>
      </w:r>
    </w:p>
    <w:p>
      <w:pPr>
        <w:pStyle w:val="43"/>
        <w:ind w:firstLine="480"/>
        <w:rPr>
          <w:rFonts w:cs="Times New Roman"/>
        </w:rPr>
      </w:pPr>
      <w:r>
        <w:rPr>
          <w:rFonts w:hint="eastAsia" w:cs="Times New Roman"/>
          <w:lang w:eastAsia="zh-CN"/>
        </w:rPr>
        <w:t>工作时数：年工作天数330天，三班制，8h工作制，共计7920h。</w:t>
      </w:r>
    </w:p>
    <w:p>
      <w:pPr>
        <w:pStyle w:val="4"/>
        <w:ind w:firstLine="482" w:firstLineChars="200"/>
      </w:pPr>
      <w:bookmarkStart w:id="69" w:name="_Toc28093"/>
      <w:bookmarkStart w:id="70" w:name="_Toc30824"/>
      <w:bookmarkStart w:id="71" w:name="_Toc19225"/>
      <w:bookmarkStart w:id="72" w:name="_Toc21557"/>
      <w:bookmarkStart w:id="73" w:name="_Toc12245"/>
      <w:r>
        <w:rPr>
          <w:rFonts w:hint="eastAsia"/>
        </w:rPr>
        <w:t>5.1.</w:t>
      </w:r>
      <w:r>
        <w:t>2环境质量现状评价结论</w:t>
      </w:r>
      <w:bookmarkEnd w:id="67"/>
      <w:bookmarkEnd w:id="68"/>
      <w:bookmarkEnd w:id="69"/>
      <w:bookmarkEnd w:id="70"/>
      <w:bookmarkEnd w:id="71"/>
      <w:bookmarkEnd w:id="72"/>
      <w:bookmarkEnd w:id="73"/>
    </w:p>
    <w:p>
      <w:pPr>
        <w:pStyle w:val="43"/>
        <w:ind w:firstLine="480"/>
        <w:rPr>
          <w:rFonts w:cs="Times New Roman"/>
        </w:rPr>
      </w:pPr>
      <w:bookmarkStart w:id="74" w:name="_Toc2812_WPSOffice_Level3"/>
      <w:r>
        <w:rPr>
          <w:rFonts w:hint="eastAsia" w:cs="Times New Roman"/>
          <w:lang w:eastAsia="zh-CN"/>
        </w:rPr>
        <w:t>（</w:t>
      </w:r>
      <w:r>
        <w:rPr>
          <w:rFonts w:cs="Times New Roman"/>
        </w:rPr>
        <w:t>1）大气环境质量现状评价结论</w:t>
      </w:r>
      <w:bookmarkEnd w:id="74"/>
    </w:p>
    <w:p>
      <w:pPr>
        <w:pStyle w:val="43"/>
        <w:ind w:firstLine="480"/>
        <w:rPr>
          <w:rFonts w:cs="Times New Roman"/>
        </w:rPr>
      </w:pPr>
      <w:bookmarkStart w:id="75" w:name="_Toc22003_WPSOffice_Level3"/>
      <w:r>
        <w:rPr>
          <w:rFonts w:cs="Times New Roman"/>
        </w:rPr>
        <w:t>评价结果表明，本项目所在区域基本污染物中PM</w:t>
      </w:r>
      <w:r>
        <w:rPr>
          <w:rFonts w:hint="eastAsia" w:cs="Times New Roman"/>
          <w:vertAlign w:val="subscript"/>
          <w:lang w:val="en-US" w:eastAsia="zh-CN"/>
        </w:rPr>
        <w:t>2</w:t>
      </w:r>
      <w:r>
        <w:rPr>
          <w:rFonts w:cs="Times New Roman"/>
          <w:vertAlign w:val="subscript"/>
        </w:rPr>
        <w:t>.5</w:t>
      </w:r>
      <w:r>
        <w:rPr>
          <w:rFonts w:cs="Times New Roman"/>
        </w:rPr>
        <w:t>、PM</w:t>
      </w:r>
      <w:r>
        <w:rPr>
          <w:rFonts w:cs="Times New Roman"/>
          <w:vertAlign w:val="subscript"/>
        </w:rPr>
        <w:t>10</w:t>
      </w:r>
      <w:r>
        <w:rPr>
          <w:rFonts w:cs="Times New Roman"/>
        </w:rPr>
        <w:t>超标，其他指标均达标，说明本项目所在区域环境空气浮尘较严重。特征污染物达标。</w:t>
      </w:r>
    </w:p>
    <w:p>
      <w:pPr>
        <w:pStyle w:val="43"/>
        <w:ind w:firstLine="480"/>
        <w:rPr>
          <w:rFonts w:cs="Times New Roman"/>
        </w:rPr>
      </w:pPr>
      <w:r>
        <w:rPr>
          <w:rFonts w:hint="eastAsia" w:cs="Times New Roman"/>
          <w:lang w:eastAsia="zh-CN"/>
        </w:rPr>
        <w:t>（</w:t>
      </w:r>
      <w:r>
        <w:rPr>
          <w:rFonts w:cs="Times New Roman"/>
        </w:rPr>
        <w:t>2）水环境质量现状评价结论</w:t>
      </w:r>
      <w:bookmarkEnd w:id="75"/>
    </w:p>
    <w:p>
      <w:pPr>
        <w:pStyle w:val="54"/>
        <w:spacing w:line="360" w:lineRule="auto"/>
        <w:rPr>
          <w:rFonts w:eastAsia="宋体" w:cs="Times New Roman"/>
        </w:rPr>
      </w:pPr>
      <w:bookmarkStart w:id="76" w:name="_Toc5158_WPSOffice_Level3"/>
      <w:r>
        <w:rPr>
          <w:rFonts w:eastAsia="宋体" w:cs="Times New Roman"/>
        </w:rPr>
        <w:t>各项满足《地下水质量标准》</w:t>
      </w:r>
      <w:r>
        <w:rPr>
          <w:rFonts w:hint="eastAsia" w:eastAsia="宋体" w:cs="Times New Roman"/>
          <w:lang w:eastAsia="zh-CN"/>
        </w:rPr>
        <w:t>（</w:t>
      </w:r>
      <w:r>
        <w:rPr>
          <w:rFonts w:eastAsia="宋体" w:cs="Times New Roman"/>
        </w:rPr>
        <w:t>GB/T14848-2017）的Ⅲ类标准要求，项目区地下水环境质量较好。</w:t>
      </w:r>
    </w:p>
    <w:p>
      <w:pPr>
        <w:pStyle w:val="43"/>
        <w:ind w:firstLine="480"/>
        <w:rPr>
          <w:rFonts w:cs="Times New Roman"/>
        </w:rPr>
      </w:pPr>
      <w:r>
        <w:rPr>
          <w:rFonts w:hint="eastAsia" w:cs="Times New Roman"/>
          <w:lang w:eastAsia="zh-CN"/>
        </w:rPr>
        <w:t>（</w:t>
      </w:r>
      <w:r>
        <w:rPr>
          <w:rFonts w:cs="Times New Roman"/>
        </w:rPr>
        <w:t>3）声环境质量现状评价结论</w:t>
      </w:r>
      <w:bookmarkEnd w:id="76"/>
    </w:p>
    <w:p>
      <w:pPr>
        <w:pStyle w:val="43"/>
        <w:ind w:firstLine="480"/>
        <w:rPr>
          <w:rFonts w:cs="Times New Roman"/>
        </w:rPr>
      </w:pPr>
      <w:r>
        <w:rPr>
          <w:rFonts w:cs="Times New Roman"/>
        </w:rPr>
        <w:t>项目区厂界噪声值较</w:t>
      </w:r>
      <w:r>
        <w:rPr>
          <w:rFonts w:cs="Times New Roman"/>
          <w:lang w:val="en-US"/>
        </w:rPr>
        <w:t>好</w:t>
      </w:r>
      <w:r>
        <w:rPr>
          <w:rFonts w:cs="Times New Roman"/>
        </w:rPr>
        <w:t>，未超过《声环境质量标准》</w:t>
      </w:r>
      <w:r>
        <w:rPr>
          <w:rFonts w:hint="eastAsia" w:cs="Times New Roman"/>
          <w:lang w:eastAsia="zh-CN"/>
        </w:rPr>
        <w:t>（</w:t>
      </w:r>
      <w:r>
        <w:rPr>
          <w:rFonts w:cs="Times New Roman"/>
        </w:rPr>
        <w:t>GB3096-2008）中3类区标准限值。</w:t>
      </w:r>
    </w:p>
    <w:p>
      <w:pPr>
        <w:pStyle w:val="4"/>
        <w:ind w:firstLine="482" w:firstLineChars="200"/>
      </w:pPr>
      <w:bookmarkStart w:id="77" w:name="_Toc26385"/>
      <w:bookmarkStart w:id="78" w:name="_Toc5132"/>
      <w:bookmarkStart w:id="79" w:name="_Toc524431486"/>
      <w:bookmarkStart w:id="80" w:name="_Toc27287"/>
      <w:bookmarkStart w:id="81" w:name="_Toc8165_WPSOffice_Level2"/>
      <w:bookmarkStart w:id="82" w:name="_Toc16293"/>
      <w:bookmarkStart w:id="83" w:name="_Toc2362"/>
      <w:r>
        <w:rPr>
          <w:rFonts w:hint="eastAsia"/>
        </w:rPr>
        <w:t>5.1</w:t>
      </w:r>
      <w:r>
        <w:t>.3环境影响分析结论</w:t>
      </w:r>
      <w:bookmarkEnd w:id="77"/>
      <w:bookmarkEnd w:id="78"/>
      <w:bookmarkEnd w:id="79"/>
      <w:bookmarkEnd w:id="80"/>
      <w:bookmarkEnd w:id="81"/>
      <w:bookmarkEnd w:id="82"/>
      <w:bookmarkEnd w:id="83"/>
    </w:p>
    <w:p>
      <w:pPr>
        <w:pStyle w:val="43"/>
        <w:ind w:firstLine="480"/>
        <w:rPr>
          <w:rFonts w:cs="Times New Roman"/>
        </w:rPr>
      </w:pPr>
      <w:r>
        <w:rPr>
          <w:rFonts w:hint="eastAsia" w:cs="Times New Roman"/>
          <w:lang w:eastAsia="zh-CN"/>
        </w:rPr>
        <w:t>（</w:t>
      </w:r>
      <w:r>
        <w:rPr>
          <w:rFonts w:cs="Times New Roman"/>
        </w:rPr>
        <w:t>1）大气环境影响分析结论</w:t>
      </w:r>
    </w:p>
    <w:p>
      <w:pPr>
        <w:pStyle w:val="43"/>
        <w:ind w:firstLine="480"/>
        <w:rPr>
          <w:rFonts w:cs="Times New Roman"/>
        </w:rPr>
      </w:pPr>
      <w:r>
        <w:rPr>
          <w:rFonts w:cs="Times New Roman"/>
        </w:rPr>
        <w:t>正常工况下，本项目各污染物的最大落地浓度均较低，对外环境的贡献浓度均较小，对敏感点影响不明显。</w:t>
      </w:r>
    </w:p>
    <w:p>
      <w:pPr>
        <w:pStyle w:val="43"/>
        <w:ind w:firstLine="480"/>
        <w:rPr>
          <w:rFonts w:cs="Times New Roman"/>
        </w:rPr>
      </w:pPr>
      <w:r>
        <w:rPr>
          <w:rFonts w:cs="Times New Roman"/>
        </w:rPr>
        <w:t>非正常工况与正常工况相比，各污染物的最大落地浓度明显增加，对环境的不良影响大大增加。因此一旦废气处理设施出现故障时，必须马上停产维修，排障后方可恢复生产。</w:t>
      </w:r>
    </w:p>
    <w:p>
      <w:pPr>
        <w:pStyle w:val="43"/>
        <w:ind w:firstLine="480"/>
        <w:rPr>
          <w:rFonts w:cs="Times New Roman"/>
        </w:rPr>
      </w:pPr>
      <w:r>
        <w:rPr>
          <w:rFonts w:hint="eastAsia" w:cs="Times New Roman"/>
          <w:lang w:eastAsia="zh-CN"/>
        </w:rPr>
        <w:t>（</w:t>
      </w:r>
      <w:r>
        <w:rPr>
          <w:rFonts w:cs="Times New Roman"/>
        </w:rPr>
        <w:t>2）水环境影响分析结论</w:t>
      </w:r>
    </w:p>
    <w:p>
      <w:pPr>
        <w:bidi w:val="0"/>
      </w:pPr>
      <w:r>
        <w:t>本项目废水主要为造纸白水、真空泵水封废水、烘缸蒸汽冷凝水。</w:t>
      </w:r>
    </w:p>
    <w:p>
      <w:pPr>
        <w:bidi w:val="0"/>
        <w:rPr>
          <w:lang w:val="en-US" w:eastAsia="zh-CN"/>
        </w:rPr>
      </w:pPr>
      <w:r>
        <w:rPr>
          <w:lang w:val="en-US" w:eastAsia="zh-CN"/>
        </w:rPr>
        <w:t>①造纸白水</w:t>
      </w:r>
    </w:p>
    <w:p>
      <w:pPr>
        <w:bidi w:val="0"/>
        <w:rPr>
          <w:rFonts w:ascii="Times New Roman" w:hAnsi="Times New Roman" w:eastAsia="宋体" w:cs="Times New Roman"/>
          <w:b w:val="0"/>
          <w:bCs w:val="0"/>
          <w:kern w:val="2"/>
          <w:sz w:val="24"/>
          <w:szCs w:val="24"/>
          <w:lang w:val="en-US" w:eastAsia="zh-CN" w:bidi="ar-SA"/>
        </w:rPr>
      </w:pPr>
      <w:r>
        <w:rPr>
          <w:lang w:val="en-US" w:eastAsia="zh-CN"/>
        </w:rPr>
        <w:t>造纸白水主要来源于备浆浓缩白水、垫浆层白水、纸机网部成型白水，绝大部分可以回用。浓白水、稀白水分别收集。浓白水全部用于造纸系统调浆，不外排。稀白水一部分直接回用到碎浆、调浆工序，其余白水送白水回收系统处理。</w:t>
      </w:r>
      <w:r>
        <w:rPr>
          <w:rFonts w:ascii="Times New Roman" w:hAnsi="Times New Roman" w:eastAsia="宋体" w:cs="Times New Roman"/>
          <w:b w:val="0"/>
          <w:bCs w:val="0"/>
          <w:kern w:val="2"/>
          <w:sz w:val="24"/>
          <w:szCs w:val="24"/>
          <w:lang w:val="en-US" w:eastAsia="zh-CN" w:bidi="ar-SA"/>
        </w:rPr>
        <w:t>本项目进入白水回收系统的白水量为5851.43m</w:t>
      </w:r>
      <w:r>
        <w:rPr>
          <w:rFonts w:ascii="Times New Roman" w:hAnsi="Times New Roman" w:eastAsia="宋体" w:cs="Times New Roman"/>
          <w:b w:val="0"/>
          <w:bCs w:val="0"/>
          <w:kern w:val="2"/>
          <w:sz w:val="24"/>
          <w:szCs w:val="24"/>
          <w:vertAlign w:val="superscript"/>
          <w:lang w:val="en-US" w:eastAsia="zh-CN" w:bidi="ar-SA"/>
        </w:rPr>
        <w:t>3</w:t>
      </w:r>
      <w:r>
        <w:rPr>
          <w:rFonts w:ascii="Times New Roman" w:hAnsi="Times New Roman" w:eastAsia="宋体" w:cs="Times New Roman"/>
          <w:b w:val="0"/>
          <w:bCs w:val="0"/>
          <w:kern w:val="2"/>
          <w:sz w:val="24"/>
          <w:szCs w:val="24"/>
          <w:lang w:val="en-US" w:eastAsia="zh-CN" w:bidi="ar-SA"/>
        </w:rPr>
        <w:t>/d，全部回用。</w:t>
      </w:r>
    </w:p>
    <w:p>
      <w:pPr>
        <w:bidi w:val="0"/>
        <w:rPr>
          <w:lang w:val="en-US" w:eastAsia="zh-CN"/>
        </w:rPr>
      </w:pPr>
      <w:r>
        <w:rPr>
          <w:lang w:val="en-US" w:eastAsia="zh-CN"/>
        </w:rPr>
        <w:t>浓白水：浆料进入卸料浆塔，经盘式浓缩机浓缩提高浆料浓度，该过程中产生的浓白水直接用于三段除砂系统系统和木浆浆料调浓。长纤维垫浆层白水为浓白水，进入白水回收系统处理。</w:t>
      </w:r>
    </w:p>
    <w:p>
      <w:pPr>
        <w:bidi w:val="0"/>
        <w:rPr>
          <w:rFonts w:ascii="Times New Roman" w:hAnsi="Times New Roman" w:eastAsia="宋体" w:cs="Times New Roman"/>
          <w:b w:val="0"/>
          <w:bCs w:val="0"/>
          <w:kern w:val="2"/>
          <w:szCs w:val="24"/>
          <w:lang w:val="en-US" w:eastAsia="zh-CN" w:bidi="ar-SA"/>
        </w:rPr>
      </w:pPr>
      <w:r>
        <w:rPr>
          <w:rFonts w:hint="default" w:ascii="Times New Roman" w:hAnsi="Times New Roman" w:eastAsia="宋体"/>
          <w:lang w:val="en-US" w:eastAsia="zh-CN"/>
        </w:rPr>
        <w:t>②</w:t>
      </w:r>
      <w:r>
        <w:rPr>
          <w:rFonts w:ascii="Times New Roman" w:hAnsi="Times New Roman" w:eastAsia="宋体"/>
          <w:lang w:val="en-US" w:eastAsia="zh-CN"/>
        </w:rPr>
        <w:t>稀</w:t>
      </w:r>
      <w:r>
        <w:rPr>
          <w:lang w:val="en-US" w:eastAsia="zh-CN"/>
        </w:rPr>
        <w:t>白水：浆料进入新月形成型器成型后进入压榨部，成型和压榨过程中均会产生白水。此外在设备网部需定期清洗，清洗时产生过程也会产生稀白水。稀白水经多圆盘白水过滤机回收处理后，分为超清白水、清白水和浊白水，超清白水送回造纸机用于喷网等，清白水、浓白水用于各生产系统浓度调节、稀释或在白水回收系统内部循环使用，回收浆</w:t>
      </w:r>
      <w:r>
        <w:rPr>
          <w:rFonts w:hint="eastAsia"/>
          <w:lang w:val="en-US" w:eastAsia="zh-CN"/>
        </w:rPr>
        <w:t>（</w:t>
      </w:r>
      <w:r>
        <w:rPr>
          <w:lang w:val="en-US" w:eastAsia="zh-CN"/>
        </w:rPr>
        <w:t>回收纤维</w:t>
      </w:r>
      <w:r>
        <w:rPr>
          <w:rFonts w:hint="eastAsia"/>
          <w:lang w:val="en-US" w:eastAsia="zh-CN"/>
        </w:rPr>
        <w:t>）</w:t>
      </w:r>
      <w:r>
        <w:rPr>
          <w:lang w:val="en-US" w:eastAsia="zh-CN"/>
        </w:rPr>
        <w:t>送配浆系统。</w:t>
      </w:r>
    </w:p>
    <w:p>
      <w:pPr>
        <w:bidi w:val="0"/>
        <w:rPr>
          <w:lang w:val="en-US" w:eastAsia="zh-CN"/>
        </w:rPr>
      </w:pPr>
      <w:r>
        <w:rPr>
          <w:lang w:val="en-US" w:eastAsia="zh-CN"/>
        </w:rPr>
        <w:t>③真空泵水封水</w:t>
      </w:r>
    </w:p>
    <w:p>
      <w:pPr>
        <w:bidi w:val="0"/>
        <w:rPr>
          <w:lang w:val="en-US" w:eastAsia="zh-CN"/>
        </w:rPr>
      </w:pPr>
      <w:r>
        <w:rPr>
          <w:lang w:val="en-US" w:eastAsia="zh-CN"/>
        </w:rPr>
        <w:t>纸机真空泵水封水需要无腐蚀的密封水。真空泵密封水循环使用，定期排放</w:t>
      </w:r>
      <w:r>
        <w:rPr>
          <w:rFonts w:hint="eastAsia"/>
          <w:lang w:val="en-US" w:eastAsia="zh-CN"/>
        </w:rPr>
        <w:t>。</w:t>
      </w:r>
    </w:p>
    <w:p>
      <w:pPr>
        <w:bidi w:val="0"/>
        <w:rPr>
          <w:lang w:val="en-US" w:eastAsia="zh-CN"/>
        </w:rPr>
      </w:pPr>
      <w:r>
        <w:rPr>
          <w:lang w:val="en-US" w:eastAsia="zh-CN"/>
        </w:rPr>
        <w:t>主要污染物为石油类，真空泵水封排放量约24m</w:t>
      </w:r>
      <w:r>
        <w:rPr>
          <w:vertAlign w:val="superscript"/>
          <w:lang w:val="en-US" w:eastAsia="zh-CN"/>
        </w:rPr>
        <w:t>3</w:t>
      </w:r>
      <w:r>
        <w:rPr>
          <w:lang w:val="en-US" w:eastAsia="zh-CN"/>
        </w:rPr>
        <w:t>/d，送入厂区现有污水站处理达标后排入纺织服装城污水处理厂。</w:t>
      </w:r>
    </w:p>
    <w:p>
      <w:pPr>
        <w:bidi w:val="0"/>
        <w:rPr>
          <w:b/>
          <w:bCs/>
          <w:lang w:val="en-US" w:eastAsia="zh-CN"/>
        </w:rPr>
      </w:pPr>
      <w:r>
        <w:rPr>
          <w:b/>
          <w:bCs/>
          <w:lang w:val="en-US" w:eastAsia="zh-CN"/>
        </w:rPr>
        <w:t>生活废水</w:t>
      </w:r>
    </w:p>
    <w:p>
      <w:pPr>
        <w:bidi w:val="0"/>
        <w:rPr>
          <w:lang w:val="en-US" w:eastAsia="zh-CN"/>
        </w:rPr>
      </w:pPr>
      <w:r>
        <w:rPr>
          <w:lang w:val="en-US" w:eastAsia="zh-CN"/>
        </w:rPr>
        <w:t>本项目新增职工135人，用水量按100L/人·d，排放系数0.85计，新增生活污水量约11.475m³/d。生活污水经厂内化粪池处理后排入园区污水管网。</w:t>
      </w:r>
    </w:p>
    <w:p>
      <w:pPr>
        <w:pStyle w:val="43"/>
        <w:ind w:firstLine="480"/>
        <w:rPr>
          <w:rFonts w:cs="Times New Roman"/>
        </w:rPr>
      </w:pPr>
      <w:r>
        <w:rPr>
          <w:rFonts w:hint="eastAsia" w:cs="Times New Roman"/>
          <w:lang w:eastAsia="zh-CN"/>
        </w:rPr>
        <w:t>（</w:t>
      </w:r>
      <w:r>
        <w:rPr>
          <w:rFonts w:cs="Times New Roman"/>
        </w:rPr>
        <w:t>3）声环境影响分析结论</w:t>
      </w:r>
    </w:p>
    <w:p>
      <w:pPr>
        <w:pStyle w:val="43"/>
        <w:ind w:firstLine="480"/>
        <w:rPr>
          <w:rFonts w:cs="Times New Roman"/>
        </w:rPr>
      </w:pPr>
      <w:r>
        <w:rPr>
          <w:rFonts w:cs="Times New Roman"/>
        </w:rPr>
        <w:t>本项目</w:t>
      </w:r>
      <w:r>
        <w:rPr>
          <w:rFonts w:hint="eastAsia"/>
          <w:sz w:val="24"/>
          <w:szCs w:val="24"/>
        </w:rPr>
        <w:t>生产车间已尽可能选用低噪声设备并合理布局，对各类设备噪声源采用有效的减振、隔声、消音等降噪措施，</w:t>
      </w:r>
      <w:r>
        <w:rPr>
          <w:rFonts w:cs="Times New Roman"/>
        </w:rPr>
        <w:t>能够满足《工业企业厂界环境噪声排放标准》</w:t>
      </w:r>
      <w:r>
        <w:rPr>
          <w:rFonts w:hint="eastAsia" w:cs="Times New Roman"/>
          <w:lang w:eastAsia="zh-CN"/>
        </w:rPr>
        <w:t>（</w:t>
      </w:r>
      <w:r>
        <w:rPr>
          <w:rFonts w:cs="Times New Roman"/>
        </w:rPr>
        <w:t>GB12348-2008）中的3类区标准要求，对声环境影响较小。</w:t>
      </w:r>
    </w:p>
    <w:p>
      <w:pPr>
        <w:pStyle w:val="43"/>
        <w:numPr>
          <w:ilvl w:val="0"/>
          <w:numId w:val="6"/>
        </w:numPr>
        <w:ind w:firstLine="480"/>
        <w:rPr>
          <w:rFonts w:cs="Times New Roman"/>
        </w:rPr>
      </w:pPr>
      <w:r>
        <w:rPr>
          <w:rFonts w:cs="Times New Roman"/>
        </w:rPr>
        <w:t>固体废物环境影响分析结论</w:t>
      </w:r>
    </w:p>
    <w:p>
      <w:pPr>
        <w:bidi w:val="0"/>
        <w:rPr>
          <w:rFonts w:hint="eastAsia"/>
        </w:rPr>
      </w:pPr>
      <w:bookmarkStart w:id="84" w:name="_Toc5561"/>
      <w:bookmarkStart w:id="85" w:name="_Toc14330"/>
      <w:bookmarkStart w:id="86" w:name="_Toc524431487"/>
      <w:bookmarkStart w:id="87" w:name="_Toc456651325"/>
      <w:bookmarkStart w:id="88" w:name="_Toc18368"/>
      <w:bookmarkStart w:id="89" w:name="_Toc21058_WPSOffice_Level2"/>
      <w:bookmarkStart w:id="90" w:name="_Toc21163"/>
      <w:bookmarkStart w:id="91" w:name="_Toc479687867"/>
      <w:r>
        <w:rPr>
          <w:rFonts w:hint="eastAsia"/>
        </w:rPr>
        <w:t>本项目生活用纸属于机制纸，产生的固废主要为浆渣、损纸、废毛布、废聚酯膜；白水回收系统回收纤维；机械维护产生的废油、废油桶；员工生活垃圾。</w:t>
      </w:r>
    </w:p>
    <w:p>
      <w:pPr>
        <w:bidi w:val="0"/>
        <w:rPr>
          <w:rFonts w:hint="eastAsia"/>
          <w:b/>
          <w:bCs/>
          <w:lang w:val="en-US" w:eastAsia="zh-CN"/>
        </w:rPr>
      </w:pPr>
      <w:r>
        <w:rPr>
          <w:rFonts w:hint="eastAsia"/>
          <w:b/>
          <w:bCs/>
          <w:lang w:val="en-US" w:eastAsia="zh-CN"/>
        </w:rPr>
        <w:t>一般工业固体废物</w:t>
      </w:r>
    </w:p>
    <w:p>
      <w:pPr>
        <w:bidi w:val="0"/>
        <w:rPr>
          <w:rFonts w:hint="eastAsia"/>
          <w:lang w:val="en-US" w:eastAsia="zh-CN"/>
        </w:rPr>
      </w:pPr>
      <w:r>
        <w:rPr>
          <w:rFonts w:hint="eastAsia"/>
          <w:lang w:val="en-US" w:eastAsia="zh-CN"/>
        </w:rPr>
        <w:t>浆渣：主要是生产中</w:t>
      </w:r>
      <w:r>
        <w:rPr>
          <w:rFonts w:hint="eastAsia"/>
        </w:rPr>
        <w:t>除渣器及压力筛排渣</w:t>
      </w:r>
      <w:r>
        <w:rPr>
          <w:rFonts w:hint="eastAsia"/>
          <w:lang w:eastAsia="zh-CN"/>
        </w:rPr>
        <w:t>，</w:t>
      </w:r>
      <w:r>
        <w:rPr>
          <w:rFonts w:hint="eastAsia"/>
          <w:lang w:val="en-US" w:eastAsia="zh-CN"/>
        </w:rPr>
        <w:t>收集后全部外售；</w:t>
      </w:r>
    </w:p>
    <w:p>
      <w:pPr>
        <w:bidi w:val="0"/>
        <w:rPr>
          <w:rFonts w:hint="eastAsia"/>
        </w:rPr>
      </w:pPr>
      <w:r>
        <w:rPr>
          <w:rFonts w:hint="eastAsia"/>
          <w:lang w:val="en-US" w:eastAsia="zh-CN"/>
        </w:rPr>
        <w:t>损纸：</w:t>
      </w:r>
      <w:r>
        <w:rPr>
          <w:rFonts w:hint="eastAsia"/>
        </w:rPr>
        <w:t>损纸产生于抄纸过程中成型、卷取分切以及后加工等工序，产生量约为产品量的7%，返回损纸处理生产线处理后送抄纸工段配浆</w:t>
      </w:r>
      <w:r>
        <w:rPr>
          <w:rFonts w:hint="eastAsia"/>
          <w:lang w:val="en-US" w:eastAsia="zh-CN"/>
        </w:rPr>
        <w:t>不外排</w:t>
      </w:r>
      <w:r>
        <w:rPr>
          <w:rFonts w:hint="eastAsia"/>
        </w:rPr>
        <w:t>。</w:t>
      </w:r>
    </w:p>
    <w:p>
      <w:pPr>
        <w:bidi w:val="0"/>
        <w:rPr>
          <w:rFonts w:hint="eastAsia"/>
          <w:lang w:val="en-US" w:eastAsia="zh-CN"/>
        </w:rPr>
      </w:pPr>
      <w:r>
        <w:rPr>
          <w:rFonts w:hint="eastAsia"/>
          <w:lang w:val="en-US" w:eastAsia="zh-CN"/>
        </w:rPr>
        <w:t>白水回收纤维：白水回收系统将产生白水回收纤维，统一收集后回用于配浆工序。</w:t>
      </w:r>
    </w:p>
    <w:p>
      <w:pPr>
        <w:bidi w:val="0"/>
        <w:rPr>
          <w:rFonts w:hint="default"/>
          <w:lang w:val="en-US" w:eastAsia="zh-CN"/>
        </w:rPr>
      </w:pPr>
      <w:r>
        <w:rPr>
          <w:rFonts w:hint="eastAsia"/>
          <w:lang w:val="en-US" w:eastAsia="zh-CN"/>
        </w:rPr>
        <w:t>废毛布、废聚酯膜：本项目所用毛布、聚酯网需定期更换，每月更换一次，收集后统一外售。</w:t>
      </w:r>
    </w:p>
    <w:p>
      <w:pPr>
        <w:bidi w:val="0"/>
        <w:rPr>
          <w:rFonts w:hint="eastAsia"/>
          <w:lang w:val="en-US" w:eastAsia="zh-CN"/>
        </w:rPr>
      </w:pPr>
      <w:r>
        <w:rPr>
          <w:rFonts w:hint="eastAsia"/>
          <w:lang w:val="en-US" w:eastAsia="zh-CN"/>
        </w:rPr>
        <w:t>回收纸尘：本项目袋式除尘回收纸尘量为6.1t/a，返回损纸处理生产线处理后送抄纸工段配浆不外排。</w:t>
      </w:r>
    </w:p>
    <w:p>
      <w:pPr>
        <w:bidi w:val="0"/>
        <w:rPr>
          <w:rFonts w:hint="eastAsia"/>
          <w:b/>
          <w:bCs/>
          <w:lang w:val="en-US" w:eastAsia="zh-CN"/>
        </w:rPr>
      </w:pPr>
      <w:r>
        <w:rPr>
          <w:rFonts w:hint="eastAsia"/>
          <w:b/>
          <w:bCs/>
          <w:lang w:val="en-US" w:eastAsia="zh-CN"/>
        </w:rPr>
        <w:t>危险废物</w:t>
      </w:r>
    </w:p>
    <w:p>
      <w:pPr>
        <w:bidi w:val="0"/>
        <w:rPr>
          <w:rFonts w:hint="default"/>
          <w:lang w:val="en-US" w:eastAsia="zh-CN"/>
        </w:rPr>
      </w:pPr>
      <w:r>
        <w:rPr>
          <w:rFonts w:hint="eastAsia"/>
          <w:lang w:val="en-US" w:eastAsia="zh-CN"/>
        </w:rPr>
        <w:t>废油（润滑油）：项目生产设备、机泵等日常保养、维修会使用润滑油、液压油等，润滑油会更换，液压油只添加，无需更换，更换产生的废润滑油属于危险废物HW08，收集后委托有危废处置资质的单位处置。</w:t>
      </w:r>
    </w:p>
    <w:p>
      <w:pPr>
        <w:bidi w:val="0"/>
        <w:rPr>
          <w:rFonts w:hint="eastAsia"/>
          <w:lang w:val="en-US" w:eastAsia="zh-CN"/>
        </w:rPr>
      </w:pPr>
      <w:r>
        <w:rPr>
          <w:rFonts w:hint="eastAsia"/>
          <w:lang w:val="en-US" w:eastAsia="zh-CN"/>
        </w:rPr>
        <w:t>废油桶项目润滑油、液压油的废包装桶属于危险废物HW08，收集后委托有危废处置资质的单位处置。</w:t>
      </w:r>
    </w:p>
    <w:p>
      <w:pPr>
        <w:bidi w:val="0"/>
        <w:rPr>
          <w:rFonts w:hint="eastAsia"/>
          <w:b/>
          <w:bCs/>
          <w:lang w:val="en-US" w:eastAsia="zh-CN"/>
        </w:rPr>
      </w:pPr>
      <w:r>
        <w:rPr>
          <w:rFonts w:hint="eastAsia"/>
          <w:b/>
          <w:bCs/>
          <w:lang w:val="en-US" w:eastAsia="zh-CN"/>
        </w:rPr>
        <w:t>生活垃圾</w:t>
      </w:r>
    </w:p>
    <w:p>
      <w:pPr>
        <w:bidi w:val="0"/>
        <w:rPr>
          <w:rFonts w:hint="eastAsia"/>
          <w:lang w:val="en-US" w:eastAsia="zh-CN"/>
        </w:rPr>
      </w:pPr>
      <w:r>
        <w:rPr>
          <w:rFonts w:hint="eastAsia"/>
          <w:lang w:val="en-US" w:eastAsia="zh-CN"/>
        </w:rPr>
        <w:t>本项目新增职工135人，产生的生活垃圾收集后由环卫部门清运最终进行卫生填埋处置。</w:t>
      </w:r>
    </w:p>
    <w:p>
      <w:pPr>
        <w:pStyle w:val="4"/>
        <w:ind w:firstLine="482" w:firstLineChars="200"/>
      </w:pPr>
      <w:bookmarkStart w:id="92" w:name="_Toc31789"/>
      <w:r>
        <w:rPr>
          <w:rFonts w:hint="eastAsia"/>
        </w:rPr>
        <w:t>5.1</w:t>
      </w:r>
      <w:r>
        <w:t>.</w:t>
      </w:r>
      <w:r>
        <w:rPr>
          <w:rFonts w:hint="eastAsia"/>
        </w:rPr>
        <w:t>4</w:t>
      </w:r>
      <w:r>
        <w:t>污染防治措施可行性分析结论</w:t>
      </w:r>
      <w:bookmarkEnd w:id="84"/>
      <w:bookmarkEnd w:id="85"/>
      <w:bookmarkEnd w:id="86"/>
      <w:bookmarkEnd w:id="87"/>
      <w:bookmarkEnd w:id="88"/>
      <w:bookmarkEnd w:id="89"/>
      <w:bookmarkEnd w:id="90"/>
      <w:bookmarkEnd w:id="91"/>
      <w:bookmarkEnd w:id="92"/>
    </w:p>
    <w:p>
      <w:pPr>
        <w:pStyle w:val="5"/>
        <w:ind w:firstLine="482" w:firstLineChars="200"/>
      </w:pPr>
      <w:bookmarkStart w:id="93" w:name="_Toc3895"/>
      <w:r>
        <w:rPr>
          <w:rFonts w:hint="eastAsia"/>
        </w:rPr>
        <w:t>5.1</w:t>
      </w:r>
      <w:r>
        <w:t>.</w:t>
      </w:r>
      <w:r>
        <w:rPr>
          <w:rFonts w:hint="eastAsia"/>
        </w:rPr>
        <w:t>4</w:t>
      </w:r>
      <w:r>
        <w:t>.</w:t>
      </w:r>
      <w:r>
        <w:rPr>
          <w:rFonts w:hint="eastAsia"/>
        </w:rPr>
        <w:t>1</w:t>
      </w:r>
      <w:r>
        <w:t>运营期污染防治措施可行性分析结论</w:t>
      </w:r>
      <w:bookmarkEnd w:id="93"/>
    </w:p>
    <w:p>
      <w:pPr>
        <w:pStyle w:val="43"/>
        <w:ind w:firstLine="480"/>
        <w:rPr>
          <w:rFonts w:cs="Times New Roman"/>
        </w:rPr>
      </w:pPr>
      <w:r>
        <w:rPr>
          <w:rFonts w:hint="eastAsia" w:cs="Times New Roman"/>
          <w:lang w:eastAsia="zh-CN"/>
        </w:rPr>
        <w:t>（</w:t>
      </w:r>
      <w:r>
        <w:rPr>
          <w:rFonts w:cs="Times New Roman"/>
        </w:rPr>
        <w:t>1）大气污染防治措施可行性分析结论</w:t>
      </w:r>
    </w:p>
    <w:p>
      <w:pPr>
        <w:pStyle w:val="43"/>
        <w:ind w:firstLine="480"/>
        <w:rPr>
          <w:rFonts w:cs="Times New Roman"/>
        </w:rPr>
      </w:pPr>
      <w:r>
        <w:rPr>
          <w:rFonts w:cs="Times New Roman"/>
        </w:rPr>
        <w:t>1）有组织废气</w:t>
      </w:r>
    </w:p>
    <w:p>
      <w:pPr>
        <w:bidi w:val="0"/>
      </w:pPr>
      <w:r>
        <w:t>项目运行过程中主要产生的废气主要有：纸页起皱时纸机干燥部产生的含尘废气；纸张复卷、分切过程中产生的含尘废气；后加工工段分切时产生的含尘废气；纸机干燥部湿热气体。</w:t>
      </w:r>
    </w:p>
    <w:p>
      <w:pPr>
        <w:bidi w:val="0"/>
      </w:pPr>
      <w:r>
        <w:rPr>
          <w:rFonts w:hint="eastAsia"/>
          <w:lang w:val="en-US" w:eastAsia="zh-CN"/>
        </w:rPr>
        <w:t>a</w:t>
      </w:r>
      <w:r>
        <w:t>干燥部废气主要污染物为颗粒物，每台纸机干燥部设有集尘罩吸附含尘废气，该部分粉尘通过抽风系统抽入纸机干燥部除尘系统</w:t>
      </w:r>
      <w:r>
        <w:rPr>
          <w:rFonts w:hint="eastAsia"/>
          <w:lang w:val="en-US" w:eastAsia="zh-CN"/>
        </w:rPr>
        <w:t>经布袋除尘器处理，</w:t>
      </w:r>
      <w:r>
        <w:t>回收纸尘进入损纸处理系统，除尘后废气经车间顶部排气筒</w:t>
      </w:r>
      <w:r>
        <w:rPr>
          <w:rFonts w:hint="eastAsia"/>
          <w:lang w:eastAsia="zh-CN"/>
        </w:rPr>
        <w:t>（</w:t>
      </w:r>
      <w:r>
        <w:t>15m</w:t>
      </w:r>
      <w:r>
        <w:rPr>
          <w:rFonts w:hint="eastAsia"/>
          <w:lang w:eastAsia="zh-CN"/>
        </w:rPr>
        <w:t>）</w:t>
      </w:r>
      <w:r>
        <w:t>排出。</w:t>
      </w:r>
    </w:p>
    <w:p>
      <w:pPr>
        <w:bidi w:val="0"/>
      </w:pPr>
      <w:r>
        <w:rPr>
          <w:rFonts w:hint="eastAsia"/>
          <w:lang w:val="en-US" w:eastAsia="zh-CN"/>
        </w:rPr>
        <w:t>b</w:t>
      </w:r>
      <w:r>
        <w:t>复卷、分切含尘废气</w:t>
      </w:r>
      <w:r>
        <w:rPr>
          <w:rFonts w:hint="eastAsia"/>
          <w:lang w:val="en-US" w:eastAsia="zh-CN"/>
        </w:rPr>
        <w:t>：</w:t>
      </w:r>
      <w:r>
        <w:t>纸机系统在复卷、分切过程中，圆盘刀切纸会产生部分纤维粉尘。同纸机干燥部除尘系统一样，</w:t>
      </w:r>
      <w:r>
        <w:rPr>
          <w:rFonts w:hint="eastAsia"/>
          <w:lang w:val="en-US" w:eastAsia="zh-CN"/>
        </w:rPr>
        <w:t>运营期</w:t>
      </w:r>
      <w:r>
        <w:t>设集尘罩吸附复卷分切含尘废气，收集后的废气通过袋式除尘进行除尘后通过造纸车间顶部的排气筒外排</w:t>
      </w:r>
      <w:r>
        <w:rPr>
          <w:rFonts w:hint="eastAsia"/>
          <w:lang w:eastAsia="zh-CN"/>
        </w:rPr>
        <w:t>（</w:t>
      </w:r>
      <w:r>
        <w:t>15m</w:t>
      </w:r>
      <w:r>
        <w:rPr>
          <w:rFonts w:hint="eastAsia"/>
          <w:lang w:eastAsia="zh-CN"/>
        </w:rPr>
        <w:t>），</w:t>
      </w:r>
      <w:r>
        <w:t>回收的纸尘进入损纸处理系统。</w:t>
      </w:r>
    </w:p>
    <w:p>
      <w:pPr>
        <w:bidi w:val="0"/>
        <w:ind w:left="0" w:leftChars="0" w:firstLine="480" w:firstLineChars="200"/>
        <w:rPr>
          <w:rFonts w:hint="default"/>
          <w:lang w:val="en-US" w:eastAsia="zh-CN"/>
        </w:rPr>
      </w:pPr>
      <w:r>
        <w:rPr>
          <w:rFonts w:hint="eastAsia"/>
          <w:lang w:val="en-US" w:eastAsia="zh-CN"/>
        </w:rPr>
        <w:t>c</w:t>
      </w:r>
      <w:r>
        <w:t>后加工工序含尘废气</w:t>
      </w:r>
      <w:r>
        <w:rPr>
          <w:rFonts w:hint="eastAsia"/>
          <w:lang w:eastAsia="zh-CN"/>
        </w:rPr>
        <w:t>：</w:t>
      </w:r>
      <w:r>
        <w:t>原纸在后加工分切工序产生少量的纸尘，</w:t>
      </w:r>
      <w:r>
        <w:rPr>
          <w:rFonts w:hint="eastAsia"/>
          <w:lang w:val="en-US" w:eastAsia="zh-CN"/>
        </w:rPr>
        <w:t>该项目在后加工工段设计吸尘罩对含尘气体进行捕集后经布袋除尘器处理后经15m高排气筒排放。</w:t>
      </w:r>
    </w:p>
    <w:p>
      <w:pPr>
        <w:bidi w:val="0"/>
        <w:ind w:left="0" w:leftChars="0" w:firstLine="480" w:firstLineChars="200"/>
        <w:rPr>
          <w:rFonts w:hint="default" w:eastAsia="宋体"/>
          <w:lang w:val="en-US" w:eastAsia="zh-CN"/>
        </w:rPr>
      </w:pPr>
      <w:r>
        <w:rPr>
          <w:rFonts w:hint="eastAsia"/>
          <w:lang w:val="en-US" w:eastAsia="zh-CN"/>
        </w:rPr>
        <w:t>d</w:t>
      </w:r>
      <w:r>
        <w:t>纸机干燥部湿热气体</w:t>
      </w:r>
      <w:r>
        <w:rPr>
          <w:rFonts w:hint="eastAsia"/>
          <w:lang w:eastAsia="zh-CN"/>
        </w:rPr>
        <w:t>：</w:t>
      </w:r>
      <w:r>
        <w:t>本项目造纸车间干燥部产生湿热废气，是纸张干燥的水蒸汽，蒸汽的主要成分为水，此外，还夹带着极微的纤维</w:t>
      </w:r>
      <w:r>
        <w:rPr>
          <w:rFonts w:hint="eastAsia"/>
          <w:lang w:eastAsia="zh-CN"/>
        </w:rPr>
        <w:t>（</w:t>
      </w:r>
      <w:r>
        <w:t>纸浆</w:t>
      </w:r>
      <w:r>
        <w:rPr>
          <w:rFonts w:hint="eastAsia"/>
          <w:lang w:eastAsia="zh-CN"/>
        </w:rPr>
        <w:t>）</w:t>
      </w:r>
      <w:r>
        <w:t>气味。经热回收后的湿热气体温度低于60℃，造纸机设备自带集气罩，湿热废气经集气罩收集后，由轴流风机抽出车间经屋顶排气装置直接排空。</w:t>
      </w:r>
    </w:p>
    <w:p>
      <w:pPr>
        <w:pStyle w:val="43"/>
        <w:ind w:firstLine="480"/>
        <w:rPr>
          <w:rFonts w:cs="Times New Roman"/>
        </w:rPr>
      </w:pPr>
      <w:r>
        <w:rPr>
          <w:rFonts w:cs="Times New Roman"/>
        </w:rPr>
        <w:t>2）无组织废气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经调查，运无组织废气主要为造纸车间逸散粉尘，主要污染物为颗粒物；纸机干燥部湿热气体，主要为水蒸气。纸机干燥部湿热气体经造纸机设备自带集气罩收集，由轴流风机抽出车间，经屋顶排气装置直接排空。经监测，厂界处颗粒物排放浓度符合《大气污染物综合排放标准》（GB16297-1996）表2限值要求。</w:t>
      </w:r>
    </w:p>
    <w:p>
      <w:pPr>
        <w:pStyle w:val="43"/>
        <w:ind w:firstLine="480"/>
        <w:rPr>
          <w:rFonts w:cs="Times New Roman"/>
        </w:rPr>
      </w:pPr>
      <w:r>
        <w:rPr>
          <w:rFonts w:cs="Times New Roman"/>
        </w:rPr>
        <w:t>本项目运营期废气采用上述治理措施处理后，完全可以保证各污染物的达标排放，在经济、技术上均是可行的。</w:t>
      </w:r>
    </w:p>
    <w:p>
      <w:pPr>
        <w:pStyle w:val="43"/>
        <w:ind w:firstLine="480"/>
        <w:rPr>
          <w:rFonts w:cs="Times New Roman"/>
        </w:rPr>
      </w:pPr>
      <w:r>
        <w:rPr>
          <w:rFonts w:hint="eastAsia" w:cs="Times New Roman"/>
          <w:lang w:eastAsia="zh-CN"/>
        </w:rPr>
        <w:t>（</w:t>
      </w:r>
      <w:r>
        <w:rPr>
          <w:rFonts w:cs="Times New Roman"/>
        </w:rPr>
        <w:t>2）水污染防治措施可行性分析结论</w:t>
      </w:r>
    </w:p>
    <w:p>
      <w:pPr>
        <w:pStyle w:val="43"/>
        <w:ind w:firstLine="480"/>
        <w:rPr>
          <w:rFonts w:hint="eastAsia" w:ascii="宋体" w:hAnsi="宋体" w:eastAsia="宋体" w:cs="宋体"/>
        </w:rPr>
      </w:pPr>
      <w:r>
        <w:rPr>
          <w:rFonts w:hint="eastAsia" w:ascii="宋体" w:hAnsi="宋体" w:eastAsia="宋体" w:cs="宋体"/>
          <w:lang w:val="en-US" w:eastAsia="zh-CN"/>
        </w:rPr>
        <w:t>经调查，</w:t>
      </w:r>
      <w:r>
        <w:rPr>
          <w:rFonts w:hint="eastAsia" w:ascii="宋体" w:hAnsi="宋体" w:eastAsia="宋体" w:cs="宋体"/>
        </w:rPr>
        <w:t>运营期造纸白水经多圆盘白水回收系统处理后全部回用，烘缸冷凝水全部送入厂内现有热电车间回用，真空泵水封废水排入厂区现有污水处理站处理，新增生活污水经厂区现有生活污水处理设施</w:t>
      </w:r>
      <w:r>
        <w:rPr>
          <w:rFonts w:hint="eastAsia" w:ascii="宋体" w:hAnsi="宋体" w:cs="宋体"/>
          <w:lang w:eastAsia="zh-CN"/>
        </w:rPr>
        <w:t>（</w:t>
      </w:r>
      <w:r>
        <w:rPr>
          <w:rFonts w:hint="eastAsia" w:ascii="宋体" w:hAnsi="宋体" w:eastAsia="宋体" w:cs="宋体"/>
        </w:rPr>
        <w:t>化粪池</w:t>
      </w:r>
      <w:r>
        <w:rPr>
          <w:rFonts w:hint="eastAsia" w:ascii="宋体" w:hAnsi="宋体" w:eastAsia="宋体" w:cs="宋体"/>
          <w:lang w:eastAsia="zh-CN"/>
        </w:rPr>
        <w:t>）</w:t>
      </w:r>
      <w:r>
        <w:rPr>
          <w:rFonts w:hint="eastAsia" w:ascii="宋体" w:hAnsi="宋体" w:eastAsia="宋体" w:cs="宋体"/>
        </w:rPr>
        <w:t>处理后排入园区污水管网。厂区现有污水处理站处理后废水部分回用于制浆等生产，</w:t>
      </w:r>
      <w:r>
        <w:rPr>
          <w:rFonts w:hint="eastAsia" w:ascii="宋体" w:hAnsi="宋体" w:eastAsia="宋体" w:cs="宋体"/>
          <w:lang w:val="en-US" w:eastAsia="zh-CN"/>
        </w:rPr>
        <w:t>经监测，生产</w:t>
      </w:r>
      <w:r>
        <w:rPr>
          <w:rFonts w:hint="eastAsia" w:ascii="宋体" w:hAnsi="宋体" w:eastAsia="宋体" w:cs="宋体"/>
        </w:rPr>
        <w:t>废水</w:t>
      </w:r>
      <w:r>
        <w:rPr>
          <w:rFonts w:hint="eastAsia" w:ascii="宋体" w:hAnsi="宋体" w:eastAsia="宋体" w:cs="宋体"/>
          <w:lang w:val="en-US" w:eastAsia="zh-CN"/>
        </w:rPr>
        <w:t>排放</w:t>
      </w:r>
      <w:r>
        <w:rPr>
          <w:rFonts w:hint="eastAsia" w:ascii="宋体" w:hAnsi="宋体" w:eastAsia="宋体" w:cs="宋体"/>
        </w:rPr>
        <w:t>满足《制浆造纸工业水污染物排放标准》</w:t>
      </w:r>
      <w:r>
        <w:rPr>
          <w:rFonts w:hint="eastAsia" w:ascii="宋体" w:hAnsi="宋体" w:cs="宋体"/>
          <w:lang w:eastAsia="zh-CN"/>
        </w:rPr>
        <w:t>（</w:t>
      </w:r>
      <w:r>
        <w:rPr>
          <w:rFonts w:hint="eastAsia" w:ascii="宋体" w:hAnsi="宋体" w:eastAsia="宋体" w:cs="宋体"/>
        </w:rPr>
        <w:t>GB3544-2088</w:t>
      </w:r>
      <w:r>
        <w:rPr>
          <w:rFonts w:hint="eastAsia" w:ascii="宋体" w:hAnsi="宋体" w:eastAsia="宋体" w:cs="宋体"/>
          <w:lang w:eastAsia="zh-CN"/>
        </w:rPr>
        <w:t>）</w:t>
      </w:r>
      <w:r>
        <w:rPr>
          <w:rFonts w:hint="eastAsia" w:ascii="宋体" w:hAnsi="宋体" w:eastAsia="宋体" w:cs="宋体"/>
        </w:rPr>
        <w:t>中表2新建企业污染物排放限值后排入园区污水处理厂处理。</w:t>
      </w:r>
    </w:p>
    <w:p>
      <w:pPr>
        <w:pStyle w:val="43"/>
        <w:ind w:firstLine="480"/>
        <w:rPr>
          <w:rFonts w:cs="Times New Roman"/>
        </w:rPr>
      </w:pPr>
      <w:r>
        <w:rPr>
          <w:rFonts w:hint="eastAsia" w:cs="Times New Roman"/>
          <w:lang w:eastAsia="zh-CN"/>
        </w:rPr>
        <w:t>（</w:t>
      </w:r>
      <w:r>
        <w:rPr>
          <w:rFonts w:cs="Times New Roman"/>
        </w:rPr>
        <w:t>3）噪声防治措施可行性分析结论</w:t>
      </w:r>
    </w:p>
    <w:p>
      <w:pPr>
        <w:pStyle w:val="43"/>
        <w:ind w:firstLine="480"/>
        <w:rPr>
          <w:rFonts w:cs="Times New Roman"/>
        </w:rPr>
      </w:pPr>
      <w:r>
        <w:rPr>
          <w:rFonts w:cs="Times New Roman"/>
        </w:rPr>
        <w:t>本项目采取的隔声、减振、消声、绿化等降噪措施均为较成熟的噪声控制措施，可以满足噪声防治的需要，使厂界噪声满足《工业企业厂界环境噪声排放标准》</w:t>
      </w:r>
      <w:r>
        <w:rPr>
          <w:rFonts w:hint="eastAsia" w:cs="Times New Roman"/>
          <w:lang w:eastAsia="zh-CN"/>
        </w:rPr>
        <w:t>（</w:t>
      </w:r>
      <w:r>
        <w:rPr>
          <w:rFonts w:cs="Times New Roman"/>
        </w:rPr>
        <w:t>GB12348-2008）中的3类区标准。</w:t>
      </w:r>
    </w:p>
    <w:p>
      <w:pPr>
        <w:pStyle w:val="43"/>
        <w:ind w:firstLine="480"/>
        <w:rPr>
          <w:rFonts w:cs="Times New Roman"/>
        </w:rPr>
      </w:pPr>
      <w:r>
        <w:rPr>
          <w:rFonts w:hint="eastAsia" w:cs="Times New Roman"/>
          <w:lang w:eastAsia="zh-CN"/>
        </w:rPr>
        <w:t>（</w:t>
      </w:r>
      <w:r>
        <w:rPr>
          <w:rFonts w:cs="Times New Roman"/>
        </w:rPr>
        <w:t>4）固废防治措施可行性分析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rPr>
      </w:pPr>
      <w:r>
        <w:rPr>
          <w:rFonts w:cs="Times New Roman"/>
        </w:rPr>
        <w:t>本项目</w:t>
      </w:r>
      <w:r>
        <w:rPr>
          <w:rFonts w:hint="eastAsia" w:cs="Times New Roman"/>
        </w:rPr>
        <w:t>运营期危险废物包括废润滑油及润滑油、液压油废包装桶，暂存于厂内现有危险废物暂存库，最终委托有相应资质的危险废物处理单位处置。危险废物收集、贮存、运输须符合</w:t>
      </w:r>
      <w:r>
        <w:rPr>
          <w:rFonts w:hint="eastAsia" w:cs="Times New Roman"/>
          <w:lang w:eastAsia="zh-CN"/>
        </w:rPr>
        <w:t>《危险废物贮存污染控制标准》（GB18597-2023）中</w:t>
      </w:r>
      <w:r>
        <w:rPr>
          <w:rFonts w:hint="eastAsia" w:cs="Times New Roman"/>
        </w:rPr>
        <w:t>要求，《危险废物收集、贮存、运输技术规范》</w:t>
      </w:r>
      <w:r>
        <w:rPr>
          <w:rFonts w:hint="eastAsia" w:cs="Times New Roman"/>
          <w:lang w:eastAsia="zh-CN"/>
        </w:rPr>
        <w:t>（</w:t>
      </w:r>
      <w:r>
        <w:rPr>
          <w:rFonts w:hint="eastAsia" w:cs="Times New Roman"/>
        </w:rPr>
        <w:t>HJ2025-2012</w:t>
      </w:r>
      <w:r>
        <w:rPr>
          <w:rFonts w:hint="eastAsia" w:cs="Times New Roman"/>
          <w:lang w:eastAsia="zh-CN"/>
        </w:rPr>
        <w:t>）</w:t>
      </w:r>
      <w:r>
        <w:rPr>
          <w:rFonts w:hint="eastAsia" w:cs="Times New Roman"/>
        </w:rPr>
        <w:t>和《危险废物转移联单管理办法》。一般工业固体废物，须按照《一般工业固体废物贮存、处置场所污染控制标准》</w:t>
      </w:r>
      <w:r>
        <w:rPr>
          <w:rFonts w:hint="eastAsia" w:cs="Times New Roman"/>
          <w:lang w:eastAsia="zh-CN"/>
        </w:rPr>
        <w:t>（</w:t>
      </w:r>
      <w:r>
        <w:rPr>
          <w:rFonts w:hint="eastAsia" w:cs="Times New Roman"/>
        </w:rPr>
        <w:t>GB18599-2001</w:t>
      </w:r>
      <w:r>
        <w:rPr>
          <w:rFonts w:hint="eastAsia" w:cs="Times New Roman"/>
          <w:lang w:eastAsia="zh-CN"/>
        </w:rPr>
        <w:t>）</w:t>
      </w:r>
      <w:r>
        <w:rPr>
          <w:rFonts w:hint="eastAsia" w:cs="Times New Roman"/>
        </w:rPr>
        <w:t>要求进行处置。生活垃圾统一收集，交由环卫部门统一处置。</w:t>
      </w:r>
      <w:r>
        <w:rPr>
          <w:rFonts w:hint="eastAsia"/>
          <w:sz w:val="24"/>
          <w:szCs w:val="24"/>
        </w:rPr>
        <w:t>建立了各类污染物清运记录，做好了环保档案资料保存工作。</w:t>
      </w:r>
      <w:r>
        <w:rPr>
          <w:rFonts w:cs="Times New Roman"/>
        </w:rPr>
        <w:t>因此本项目固废处置措施是可行的。</w:t>
      </w:r>
    </w:p>
    <w:p>
      <w:pPr>
        <w:pStyle w:val="4"/>
        <w:bidi w:val="0"/>
        <w:rPr>
          <w:rFonts w:hint="eastAsia"/>
        </w:rPr>
      </w:pPr>
      <w:bookmarkStart w:id="94" w:name="_Toc1054"/>
      <w:bookmarkStart w:id="95" w:name="_Toc32670"/>
      <w:bookmarkStart w:id="96" w:name="_Toc3567"/>
      <w:bookmarkStart w:id="97" w:name="_Toc19550_WPSOffice_Level2"/>
      <w:bookmarkStart w:id="98" w:name="_Toc11834"/>
      <w:bookmarkStart w:id="99" w:name="_Toc26954"/>
      <w:bookmarkStart w:id="100" w:name="_Toc524431490"/>
      <w:r>
        <w:rPr>
          <w:rFonts w:hint="eastAsia"/>
          <w:lang w:val="en-US" w:eastAsia="zh-CN"/>
        </w:rPr>
        <w:t>5.1.4.2</w:t>
      </w:r>
      <w:r>
        <w:rPr>
          <w:rFonts w:hint="eastAsia"/>
        </w:rPr>
        <w:t>地表水环境影响分析</w:t>
      </w:r>
      <w:bookmarkEnd w:id="94"/>
    </w:p>
    <w:p>
      <w:pPr>
        <w:bidi w:val="0"/>
        <w:rPr>
          <w:rFonts w:hint="eastAsia"/>
        </w:rPr>
      </w:pPr>
      <w:r>
        <w:rPr>
          <w:rFonts w:hint="eastAsia"/>
          <w:lang w:eastAsia="zh-CN"/>
        </w:rPr>
        <w:t>（</w:t>
      </w:r>
      <w:r>
        <w:rPr>
          <w:rFonts w:hint="eastAsia"/>
        </w:rPr>
        <w:t>1</w:t>
      </w:r>
      <w:r>
        <w:rPr>
          <w:rFonts w:hint="eastAsia"/>
          <w:lang w:eastAsia="zh-CN"/>
        </w:rPr>
        <w:t>）</w:t>
      </w:r>
      <w:r>
        <w:rPr>
          <w:rFonts w:hint="eastAsia"/>
        </w:rPr>
        <w:t>废水排放情况</w:t>
      </w:r>
    </w:p>
    <w:p>
      <w:pPr>
        <w:bidi w:val="0"/>
        <w:rPr>
          <w:rFonts w:hint="eastAsia"/>
        </w:rPr>
      </w:pPr>
      <w:r>
        <w:rPr>
          <w:rFonts w:hint="eastAsia"/>
        </w:rPr>
        <w:t>本次改建项目生产废水主要为造纸白水、真空泵水封废水、烘缸蒸汽冷凝水。</w:t>
      </w:r>
    </w:p>
    <w:p>
      <w:pPr>
        <w:bidi w:val="0"/>
        <w:rPr>
          <w:rFonts w:hint="eastAsia"/>
        </w:rPr>
      </w:pPr>
      <w:r>
        <w:rPr>
          <w:rFonts w:hint="eastAsia"/>
        </w:rPr>
        <w:t>造纸白水经白水回收系统处理后，全部回用；烘缸蒸汽冷凝水全部回收送入热电车间回用，不外排；真空泵水封排放量约24m</w:t>
      </w:r>
      <w:r>
        <w:rPr>
          <w:rFonts w:hint="eastAsia"/>
          <w:vertAlign w:val="superscript"/>
        </w:rPr>
        <w:t>3</w:t>
      </w:r>
      <w:r>
        <w:rPr>
          <w:rFonts w:hint="eastAsia"/>
        </w:rPr>
        <w:t>/d，送入厂区现有污水站处理达标后排入纺织服装城污水处理厂。</w:t>
      </w:r>
    </w:p>
    <w:p>
      <w:pPr>
        <w:bidi w:val="0"/>
        <w:rPr>
          <w:rFonts w:hint="eastAsia"/>
        </w:rPr>
      </w:pPr>
      <w:r>
        <w:rPr>
          <w:rFonts w:hint="eastAsia"/>
          <w:lang w:eastAsia="zh-CN"/>
        </w:rPr>
        <w:t>（</w:t>
      </w:r>
      <w:r>
        <w:rPr>
          <w:rFonts w:hint="eastAsia"/>
        </w:rPr>
        <w:t>2</w:t>
      </w:r>
      <w:r>
        <w:rPr>
          <w:rFonts w:hint="eastAsia"/>
          <w:lang w:eastAsia="zh-CN"/>
        </w:rPr>
        <w:t>）</w:t>
      </w:r>
      <w:r>
        <w:rPr>
          <w:rFonts w:hint="eastAsia"/>
        </w:rPr>
        <w:t>地表水环境影响</w:t>
      </w:r>
    </w:p>
    <w:p>
      <w:pPr>
        <w:bidi w:val="0"/>
        <w:rPr>
          <w:rFonts w:hint="eastAsia"/>
        </w:rPr>
      </w:pPr>
      <w:r>
        <w:rPr>
          <w:rFonts w:hint="eastAsia"/>
        </w:rPr>
        <w:t>本项目产生的生活废水经厂区化粪池处理后，排入园区污水管网。项目生产废水排入厂区自建的污水处理站处理，处理达标后近期送纺织服装城污水处理厂，后期送库尔勒经济技术开发区日处理10万方污水处理厂</w:t>
      </w:r>
      <w:r>
        <w:rPr>
          <w:rFonts w:hint="eastAsia"/>
          <w:lang w:eastAsia="zh-CN"/>
        </w:rPr>
        <w:t>（</w:t>
      </w:r>
      <w:r>
        <w:rPr>
          <w:rFonts w:hint="eastAsia"/>
        </w:rPr>
        <w:t>在建</w:t>
      </w:r>
      <w:r>
        <w:rPr>
          <w:rFonts w:hint="eastAsia"/>
          <w:lang w:eastAsia="zh-CN"/>
        </w:rPr>
        <w:t>）</w:t>
      </w:r>
      <w:r>
        <w:rPr>
          <w:rFonts w:hint="eastAsia"/>
        </w:rPr>
        <w:t>处理，出水回用或做生态补充用水。</w:t>
      </w:r>
    </w:p>
    <w:p>
      <w:pPr>
        <w:bidi w:val="0"/>
        <w:rPr>
          <w:rFonts w:hint="eastAsia"/>
        </w:rPr>
      </w:pPr>
      <w:r>
        <w:rPr>
          <w:rFonts w:hint="eastAsia"/>
        </w:rPr>
        <w:t>根据现场调查，距本项目区最近的地表水体分别为厂址北侧3.6km处的西尼尔水库及厂址西侧2.4km处的库塔干渠东干渠，本项目生产和生活废水均不排入外界水环境，不与地表水发生水力联系。因此，正常生产情况下项目不会造成周边地表水环境污染。</w:t>
      </w:r>
    </w:p>
    <w:p>
      <w:pPr>
        <w:pStyle w:val="4"/>
        <w:bidi w:val="0"/>
      </w:pPr>
      <w:bookmarkStart w:id="101" w:name="_Toc28507"/>
      <w:r>
        <w:rPr>
          <w:rFonts w:hint="eastAsia"/>
          <w:lang w:val="en-US" w:eastAsia="zh-CN"/>
        </w:rPr>
        <w:t>5.1.4.3</w:t>
      </w:r>
      <w:r>
        <w:t>合理性分析结论</w:t>
      </w:r>
      <w:bookmarkEnd w:id="95"/>
      <w:bookmarkEnd w:id="96"/>
      <w:bookmarkEnd w:id="97"/>
      <w:bookmarkEnd w:id="98"/>
      <w:bookmarkEnd w:id="99"/>
      <w:bookmarkEnd w:id="100"/>
      <w:bookmarkEnd w:id="101"/>
    </w:p>
    <w:p>
      <w:pPr>
        <w:bidi w:val="0"/>
        <w:rPr>
          <w:rFonts w:hint="eastAsia"/>
          <w:lang w:val="en-US" w:eastAsia="zh-CN"/>
        </w:rPr>
      </w:pPr>
      <w:bookmarkStart w:id="102" w:name="_Toc24758_WPSOffice_Level2"/>
      <w:bookmarkStart w:id="103" w:name="_Toc9737"/>
      <w:bookmarkStart w:id="104" w:name="_Toc6312"/>
      <w:bookmarkStart w:id="105" w:name="_Toc9110"/>
      <w:bookmarkStart w:id="106" w:name="_Toc524431492"/>
      <w:bookmarkStart w:id="107" w:name="_Toc31804"/>
      <w:r>
        <w:rPr>
          <w:rFonts w:hint="eastAsia"/>
          <w:lang w:val="en-US" w:eastAsia="zh-CN"/>
        </w:rPr>
        <w:t>项目位于库尔勒经济技术开发区-库尔勒纺织服装配套暨冀疆合作区，中泰兴苇现有厂区内，属于园区规划的造纸包装印刷板块。</w:t>
      </w:r>
    </w:p>
    <w:p>
      <w:pPr>
        <w:bidi w:val="0"/>
        <w:rPr>
          <w:rFonts w:hint="eastAsia"/>
          <w:lang w:val="en-US" w:eastAsia="zh-CN"/>
        </w:rPr>
      </w:pPr>
      <w:r>
        <w:rPr>
          <w:rFonts w:hint="eastAsia"/>
          <w:lang w:val="en-US" w:eastAsia="zh-CN"/>
        </w:rPr>
        <w:t>①厂区用地为工业用地，厂址周围不涉及风景名胜区、自然保护区、水源保护区和水源地补给区，符合当地环境保护规划和环境功能区划的要求，从环境影响角度分析也表明，该项目的建设对环境影响较小，不会破坏区域环境质量功能。</w:t>
      </w:r>
    </w:p>
    <w:p>
      <w:pPr>
        <w:bidi w:val="0"/>
        <w:rPr>
          <w:rFonts w:hint="eastAsia"/>
          <w:lang w:val="en-US" w:eastAsia="zh-CN"/>
        </w:rPr>
      </w:pPr>
      <w:r>
        <w:rPr>
          <w:rFonts w:hint="eastAsia"/>
          <w:lang w:val="en-US" w:eastAsia="zh-CN"/>
        </w:rPr>
        <w:t>②厂址周边600m范围内无居民区以及未来拟规划的居住区分布，厂区距离环境敏感目标距离符合卫生防护距离要求。本项目生产废气采取相应措施后，可实现达标排放。项目区地形平坦开阔，大风天气较多，有利于大气污染物的输送和扩散，对周围环境影响较小。</w:t>
      </w:r>
    </w:p>
    <w:p>
      <w:pPr>
        <w:bidi w:val="0"/>
        <w:rPr>
          <w:rFonts w:hint="eastAsia"/>
          <w:lang w:val="en-US" w:eastAsia="zh-CN"/>
        </w:rPr>
      </w:pPr>
      <w:r>
        <w:rPr>
          <w:rFonts w:hint="eastAsia"/>
          <w:lang w:val="en-US" w:eastAsia="zh-CN"/>
        </w:rPr>
        <w:t>③本项目厂址周边较大地表水体为厂址北侧3.6km处西尼尔水库，西侧2.4km处库塔干渠东干渠，本项目污水处理达标后排入污水处理厂，不与地表水体产生水力联系，且项目选址亦不在水环境敏感区。</w:t>
      </w:r>
    </w:p>
    <w:p>
      <w:pPr>
        <w:bidi w:val="0"/>
        <w:rPr>
          <w:rFonts w:hint="eastAsia" w:ascii="Times New Roman" w:hAnsi="Times New Roman" w:eastAsia="宋体" w:cstheme="minorBidi"/>
          <w:b w:val="0"/>
          <w:bCs w:val="0"/>
          <w:kern w:val="2"/>
          <w:szCs w:val="22"/>
          <w:lang w:val="en-US" w:eastAsia="zh-CN" w:bidi="ar-SA"/>
        </w:rPr>
      </w:pPr>
      <w:r>
        <w:rPr>
          <w:rFonts w:hint="eastAsia"/>
          <w:lang w:val="en-US" w:eastAsia="zh-CN"/>
        </w:rPr>
        <w:t>④项目厂址天然基础无明显不良地质条件，厂址范围内无特殊保护目标以及敏感目标，项目所在地不属于水源地亦不在水源补给区内，评价区域内无国家级及省级风景名胜区、历史遗迹项目。外环境关系对本项目建设不存在重大制约因素，厂址合理。</w:t>
      </w:r>
    </w:p>
    <w:p>
      <w:pPr>
        <w:pStyle w:val="4"/>
        <w:ind w:firstLine="482" w:firstLineChars="200"/>
      </w:pPr>
      <w:bookmarkStart w:id="108" w:name="_Toc29733"/>
      <w:r>
        <w:rPr>
          <w:rFonts w:hint="eastAsia"/>
        </w:rPr>
        <w:t>5.1</w:t>
      </w:r>
      <w:r>
        <w:t>.</w:t>
      </w:r>
      <w:r>
        <w:rPr>
          <w:rFonts w:hint="eastAsia"/>
        </w:rPr>
        <w:t>7</w:t>
      </w:r>
      <w:r>
        <w:t>环评总结论</w:t>
      </w:r>
      <w:bookmarkEnd w:id="102"/>
      <w:bookmarkEnd w:id="103"/>
      <w:bookmarkEnd w:id="104"/>
      <w:bookmarkEnd w:id="105"/>
      <w:bookmarkEnd w:id="106"/>
      <w:bookmarkEnd w:id="107"/>
      <w:bookmarkEnd w:id="108"/>
    </w:p>
    <w:p>
      <w:pPr>
        <w:pStyle w:val="43"/>
        <w:ind w:firstLine="480"/>
        <w:rPr>
          <w:rFonts w:cs="Times New Roman"/>
        </w:rPr>
      </w:pPr>
      <w:r>
        <w:rPr>
          <w:rFonts w:cs="Times New Roman"/>
        </w:rPr>
        <w:t>本项目符合园区规划，厂址选择合理、符合产业政策；生产工艺和装备先进成熟；各项污染物能够达标排放；环境风险水平在可接受的程度内；通过公众参与分析，当地群众支持该项目建设。但考虑项目在建设过程中的不确定因素，项目建设过程中认真落实环境保护</w:t>
      </w:r>
      <w:r>
        <w:rPr>
          <w:rFonts w:hint="eastAsia" w:cs="Times New Roman"/>
          <w:lang w:eastAsia="zh-CN"/>
        </w:rPr>
        <w:t>“</w:t>
      </w:r>
      <w:r>
        <w:rPr>
          <w:rFonts w:cs="Times New Roman"/>
        </w:rPr>
        <w:t>三同时</w:t>
      </w:r>
      <w:r>
        <w:rPr>
          <w:rFonts w:hint="eastAsia" w:cs="Times New Roman"/>
          <w:lang w:eastAsia="zh-CN"/>
        </w:rPr>
        <w:t>”</w:t>
      </w:r>
      <w:r>
        <w:rPr>
          <w:rFonts w:cs="Times New Roman"/>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建设是可行的。</w:t>
      </w:r>
    </w:p>
    <w:p>
      <w:pPr>
        <w:pStyle w:val="4"/>
        <w:bidi w:val="0"/>
      </w:pPr>
      <w:bookmarkStart w:id="109" w:name="_Toc524431493"/>
      <w:bookmarkStart w:id="110" w:name="_Toc21168_WPSOffice_Level2"/>
      <w:bookmarkStart w:id="111" w:name="_Toc7586"/>
      <w:bookmarkStart w:id="112" w:name="_Toc275162467"/>
      <w:bookmarkStart w:id="113" w:name="_Toc7655"/>
      <w:bookmarkStart w:id="114" w:name="_Toc275162306"/>
      <w:bookmarkStart w:id="115" w:name="_Toc29850"/>
      <w:bookmarkStart w:id="116" w:name="_Toc275187941"/>
      <w:bookmarkStart w:id="117" w:name="_Toc13795"/>
      <w:bookmarkStart w:id="118" w:name="_Toc25399"/>
      <w:r>
        <w:rPr>
          <w:rFonts w:hint="eastAsia"/>
        </w:rPr>
        <w:t>5.1</w:t>
      </w:r>
      <w:r>
        <w:t>.</w:t>
      </w:r>
      <w:r>
        <w:rPr>
          <w:rFonts w:hint="eastAsia"/>
          <w:lang w:val="en-US" w:eastAsia="zh-CN"/>
        </w:rPr>
        <w:t>4.3</w:t>
      </w:r>
      <w:r>
        <w:t>要求及建议</w:t>
      </w:r>
      <w:bookmarkEnd w:id="109"/>
      <w:bookmarkEnd w:id="110"/>
      <w:bookmarkEnd w:id="111"/>
      <w:bookmarkEnd w:id="112"/>
      <w:bookmarkEnd w:id="113"/>
      <w:bookmarkEnd w:id="114"/>
      <w:bookmarkEnd w:id="115"/>
      <w:bookmarkEnd w:id="116"/>
      <w:bookmarkEnd w:id="117"/>
      <w:bookmarkEnd w:id="118"/>
    </w:p>
    <w:p>
      <w:pPr>
        <w:pStyle w:val="43"/>
        <w:ind w:firstLine="480"/>
        <w:rPr>
          <w:rFonts w:cs="Times New Roman"/>
        </w:rPr>
      </w:pPr>
      <w:r>
        <w:rPr>
          <w:rFonts w:hint="eastAsia" w:cs="Times New Roman"/>
          <w:lang w:eastAsia="zh-CN"/>
        </w:rPr>
        <w:t>（</w:t>
      </w:r>
      <w:r>
        <w:rPr>
          <w:rFonts w:cs="Times New Roman"/>
        </w:rPr>
        <w:t>1）确保落实各项环保措施，加强环境管理，以保证污染防治达到预期效果。</w:t>
      </w:r>
    </w:p>
    <w:p>
      <w:pPr>
        <w:pStyle w:val="43"/>
        <w:ind w:firstLine="480"/>
        <w:rPr>
          <w:rFonts w:cs="Times New Roman"/>
        </w:rPr>
      </w:pPr>
      <w:r>
        <w:rPr>
          <w:rFonts w:hint="eastAsia" w:cs="Times New Roman"/>
          <w:lang w:eastAsia="zh-CN"/>
        </w:rPr>
        <w:t>（</w:t>
      </w:r>
      <w:r>
        <w:rPr>
          <w:rFonts w:cs="Times New Roman"/>
          <w:lang w:val="en-US"/>
        </w:rPr>
        <w:t>2</w:t>
      </w:r>
      <w:r>
        <w:rPr>
          <w:rFonts w:cs="Times New Roman"/>
        </w:rPr>
        <w:t>）应保持良好的通风环境，以便操作工人有良好的工作环境，发给作业人员适用、有效的防护用品，如面罩、手套、工作服等。</w:t>
      </w:r>
    </w:p>
    <w:p>
      <w:pPr>
        <w:pStyle w:val="43"/>
        <w:ind w:firstLine="480"/>
        <w:rPr>
          <w:rFonts w:cs="Times New Roman"/>
        </w:rPr>
      </w:pPr>
      <w:r>
        <w:rPr>
          <w:rFonts w:hint="eastAsia" w:cs="Times New Roman"/>
          <w:lang w:eastAsia="zh-CN"/>
        </w:rPr>
        <w:t>（</w:t>
      </w:r>
      <w:r>
        <w:rPr>
          <w:rFonts w:cs="Times New Roman"/>
          <w:lang w:val="en-US"/>
        </w:rPr>
        <w:t>3</w:t>
      </w:r>
      <w:r>
        <w:rPr>
          <w:rFonts w:cs="Times New Roman"/>
        </w:rPr>
        <w:t>）加强管理，强化企业职工自身的环保意识和事故风险意识。</w:t>
      </w:r>
    </w:p>
    <w:p>
      <w:pPr>
        <w:pStyle w:val="43"/>
        <w:ind w:firstLine="480"/>
        <w:rPr>
          <w:rFonts w:cs="Times New Roman"/>
        </w:rPr>
      </w:pPr>
      <w:r>
        <w:rPr>
          <w:rFonts w:hint="eastAsia" w:cs="Times New Roman"/>
          <w:lang w:eastAsia="zh-CN"/>
        </w:rPr>
        <w:t>（</w:t>
      </w:r>
      <w:r>
        <w:rPr>
          <w:rFonts w:cs="Times New Roman"/>
          <w:lang w:val="en-US"/>
        </w:rPr>
        <w:t>4</w:t>
      </w:r>
      <w:r>
        <w:rPr>
          <w:rFonts w:cs="Times New Roman"/>
        </w:rPr>
        <w:t>）各种固体废弃物要分类收集储存，及时清运处理。</w:t>
      </w:r>
    </w:p>
    <w:p>
      <w:pPr>
        <w:pStyle w:val="43"/>
        <w:ind w:firstLine="480"/>
        <w:rPr>
          <w:rFonts w:cs="Times New Roman"/>
        </w:rPr>
      </w:pPr>
      <w:r>
        <w:rPr>
          <w:rFonts w:hint="eastAsia" w:cs="Times New Roman"/>
          <w:lang w:eastAsia="zh-CN"/>
        </w:rPr>
        <w:t>（</w:t>
      </w:r>
      <w:r>
        <w:rPr>
          <w:rFonts w:cs="Times New Roman"/>
          <w:lang w:val="en-US"/>
        </w:rPr>
        <w:t>5</w:t>
      </w:r>
      <w:r>
        <w:rPr>
          <w:rFonts w:cs="Times New Roman"/>
        </w:rPr>
        <w:t>）加强设备维护和保养，确保各项环保设施的正常运转。</w:t>
      </w:r>
    </w:p>
    <w:p>
      <w:pPr>
        <w:pStyle w:val="43"/>
        <w:ind w:firstLine="480"/>
      </w:pPr>
      <w:r>
        <w:rPr>
          <w:rFonts w:hint="eastAsia" w:cs="Times New Roman"/>
          <w:lang w:eastAsia="zh-CN"/>
        </w:rPr>
        <w:t>（</w:t>
      </w:r>
      <w:r>
        <w:rPr>
          <w:rFonts w:cs="Times New Roman"/>
          <w:lang w:val="en-US"/>
        </w:rPr>
        <w:t>6）</w:t>
      </w:r>
      <w:r>
        <w:rPr>
          <w:rFonts w:cs="Times New Roman"/>
        </w:rPr>
        <w:t>加强厂区绿化工作，种植绿化林带。</w:t>
      </w:r>
    </w:p>
    <w:bookmarkEnd w:id="65"/>
    <w:bookmarkEnd w:id="66"/>
    <w:p>
      <w:pPr>
        <w:pStyle w:val="3"/>
      </w:pPr>
      <w:bookmarkStart w:id="119" w:name="_Toc14940"/>
      <w:bookmarkStart w:id="120" w:name="_Toc18915025"/>
      <w:bookmarkStart w:id="121" w:name="_Toc27358"/>
      <w:r>
        <w:rPr>
          <w:rFonts w:hint="eastAsia"/>
        </w:rPr>
        <w:t>5</w:t>
      </w:r>
      <w:r>
        <w:t>.2</w:t>
      </w:r>
      <w:r>
        <w:rPr>
          <w:rFonts w:hint="eastAsia"/>
        </w:rPr>
        <w:t>审批部门审批决定</w:t>
      </w:r>
      <w:bookmarkEnd w:id="119"/>
      <w:bookmarkEnd w:id="120"/>
      <w:bookmarkEnd w:id="121"/>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你公司《关于对〈新疆中泰兴苇生物科技有限公司日产125吨生活用纸产品升级改造项目环境影响报告书〉审批申请》及相关附件收悉。经研究，批复如下：</w:t>
      </w:r>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CN"/>
        </w:rPr>
        <w:t>一、</w:t>
      </w:r>
      <w:r>
        <w:rPr>
          <w:rFonts w:hint="eastAsia" w:ascii="宋体" w:hAnsi="宋体" w:eastAsia="宋体" w:cs="宋体"/>
          <w:sz w:val="24"/>
          <w:szCs w:val="24"/>
          <w:lang w:val="en-US" w:eastAsia="zh-CN"/>
        </w:rPr>
        <w:t>新疆中泰兴苇生物科技有限公司日产125吨生活用纸产品升级改造项目</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以下简称</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本项目</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）位于库尔勒经济技术开发区东南部的库尔勒纺织服装配套暨冀疆合作区</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以下简称</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合作区</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）纺织印染功能区造纸包装印刷产业区中的新疆中泰兴苇生物科技有限公司现有厂区内。项目区中心地理坐标为东经</w:t>
      </w:r>
      <w:r>
        <w:rPr>
          <w:rFonts w:hint="default" w:ascii="Times New Roman" w:hAnsi="Times New Roman" w:eastAsia="宋体" w:cs="Times New Roman"/>
          <w:sz w:val="24"/>
          <w:szCs w:val="24"/>
          <w:lang w:val="en-US" w:eastAsia="zh-CN"/>
        </w:rPr>
        <w:t>86°18′34.27"</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北纬41°31′48.62"。本项目建设性质为改建，主要建设日产125吨生活用纸生产设施，产品包括大轴纸、卫生纸卷和抽纸。项目工程内容主要为：主体工程包括1#造纸车</w:t>
      </w:r>
      <w:r>
        <w:rPr>
          <w:rFonts w:hint="eastAsia" w:ascii="宋体" w:hAnsi="宋体" w:eastAsia="宋体" w:cs="宋体"/>
          <w:sz w:val="24"/>
          <w:szCs w:val="24"/>
          <w:lang w:val="en-US" w:eastAsia="zh-CN"/>
        </w:rPr>
        <w:t>间、2#造纸车间，现有浆板车间关停2#浆板机；公辅工程为新建成品库房；环保工程包括新建造纸车间除尘设施、噪声污染治理工程、一般工业固废暂存设施、地下水防渗工程等，其他设施依托现有工程。项目总投资18301万元，其中环保投资318万元，约占总投资的1.74%。</w:t>
      </w:r>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CN"/>
        </w:rPr>
        <w:t>二、</w:t>
      </w:r>
      <w:r>
        <w:rPr>
          <w:rFonts w:hint="eastAsia" w:ascii="宋体" w:hAnsi="宋体" w:eastAsia="宋体" w:cs="宋体"/>
          <w:sz w:val="24"/>
          <w:szCs w:val="24"/>
          <w:lang w:val="en-US" w:eastAsia="zh-CN"/>
        </w:rPr>
        <w:t>根据新疆化工设计研究院有限责任公司编制的《新疆中泰兴苇生物科技有限公司日产125吨生活用纸产品升级改造项目环境影响报告书》</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以下简称《报告书》）的评价结论、自治区环境工程评估中心关于《报告书》的技术评估报告</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新环评估〔2021〕70号）、自治区排污权交易储备中心关于本项目排污权核定技术报告</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新环排权审〔2021〕55号）</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在严格落实《报告书》提出的各项环境保护措施后，该项目所产生的不利环境影响可以得到缓解和控制，我厅同意按照《报告书》中所列建设项目的性质、规模、地点、工艺和拟采取的各项环境保护措施进行建设。</w:t>
      </w:r>
    </w:p>
    <w:p>
      <w:pPr>
        <w:bidi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三、在工程设计、建设、运营和环境管理中要认真落实《报告书》提出的各项环保要求，严格执行环保</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三同时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制度，确保各类污染物稳定达标排放，并达到以下要求：</w:t>
      </w:r>
    </w:p>
    <w:p>
      <w:pPr>
        <w:bidi w:val="0"/>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一）严格落实大气污染防治措施。施工期严禁大风天气进行大量土方作业，施工现场设置围栏，临时堆场和易起尘物料堆放点应进行全遮盖，及时采取洒水降尘措施。运营期产生的废气主要为纸机干燥起皱工序、复卷分切工序、后加工工序含尘废气，主要污染物为颗粒物。经集尘罩捕集、袋式除尘器处理后，通过15米高排气筒排放，颗粒物排放浓度、排放速率须符合《大气污染物综合排放标准》</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GB16297-1996）表2排放限值。无组织废气主要为造纸车间逸散粉尘，主要污染物为颗粒物；纸机干燥部湿热气体，主要为水蒸气。纸机干燥部湿热气体经造纸机设备自带集气罩收集，由轴流风机抽出车间，经屋顶排气装置直接排空。厂界处颗粒物浓度须符合《大气污染物综合排放标准》</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GB16297-1996）表2限值。</w:t>
      </w:r>
    </w:p>
    <w:p>
      <w:pPr>
        <w:bidi w:val="0"/>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二）严格落实各项水污染防治措施。运营期造纸白水经多圆盘白水回收系统处理后全部回用，烘缸冷凝水全部送入厂内现有热电车间回用，真空泵水封废水排入厂区现有污水处理站处理，新增生活污水经厂区现有生活污水处理设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化粪池）处理后排入园区污水管网。厂区现有污水处理站处理后废水部分回用于制浆等生产，其余废水满足《制浆造纸工业水污染物排放标准》</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GB3544-2088）中表2新建企业污染物排放限值后排入园区污水处理厂处理。厂区采取分区防渗措施，重点防渗区包括浆池、白水池和应急事故池的池底池壁、白水导流收集管道，防渗层防渗性能不低于6米厚、渗透系数1×10</w:t>
      </w:r>
      <w:r>
        <w:rPr>
          <w:rFonts w:hint="default" w:ascii="Times New Roman" w:hAnsi="Times New Roman" w:eastAsia="宋体" w:cs="Times New Roman"/>
          <w:sz w:val="24"/>
          <w:szCs w:val="24"/>
          <w:vertAlign w:val="superscript"/>
          <w:lang w:val="en-US" w:eastAsia="zh-CN"/>
        </w:rPr>
        <w:t>-⁷</w:t>
      </w:r>
      <w:r>
        <w:rPr>
          <w:rFonts w:hint="default" w:ascii="Times New Roman" w:hAnsi="Times New Roman" w:eastAsia="宋体" w:cs="Times New Roman"/>
          <w:sz w:val="24"/>
          <w:szCs w:val="24"/>
          <w:lang w:val="en-US" w:eastAsia="zh-CN"/>
        </w:rPr>
        <w:t>厘米/秒的黏土层的防渗性能；一般防渗区包括造纸生产车间地面，防渗层防渗性能不低于1.5米厚、渗透系数1×10</w:t>
      </w:r>
      <w:r>
        <w:rPr>
          <w:rFonts w:hint="default" w:ascii="Times New Roman" w:hAnsi="Times New Roman" w:eastAsia="宋体" w:cs="Times New Roman"/>
          <w:sz w:val="24"/>
          <w:szCs w:val="24"/>
          <w:vertAlign w:val="superscript"/>
          <w:lang w:val="en-US" w:eastAsia="zh-CN"/>
        </w:rPr>
        <w:t>-⁷</w:t>
      </w:r>
      <w:r>
        <w:rPr>
          <w:rFonts w:hint="default" w:ascii="Times New Roman" w:hAnsi="Times New Roman" w:eastAsia="宋体" w:cs="Times New Roman"/>
          <w:sz w:val="24"/>
          <w:szCs w:val="24"/>
          <w:lang w:val="en-US" w:eastAsia="zh-CN"/>
        </w:rPr>
        <w:t>厘米/秒的黏土层的防渗性能；按规范设置地下水水质监测井，定期开展监测。</w:t>
      </w:r>
    </w:p>
    <w:p>
      <w:pPr>
        <w:bidi w:val="0"/>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三）落实噪声污染防治措施。合理布局厂区内各功能区，选择低噪声设备、减震安装、墙体和隔声窗隔挡等措施，确保运行期厂界噪声满足《工业企业厂界环境噪声排放标准》</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GB12348-2008）中3类标准要求。</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四）加强固体废物的分类管理。运营期危险废物包括废润滑油及润滑油、液压油废包装桶，暂存于厂内现有危险废物暂存库，最终委托有相应资质的危险废物处理单位处置。危险废物收集、贮存、运输须符合</w:t>
      </w:r>
      <w:r>
        <w:rPr>
          <w:rFonts w:hint="eastAsia" w:cs="Times New Roman"/>
          <w:sz w:val="24"/>
          <w:szCs w:val="24"/>
          <w:lang w:val="en-US" w:eastAsia="zh-CN"/>
        </w:rPr>
        <w:t>《危险废物贮存污染控制标准》（GB18597-2023）中</w:t>
      </w:r>
      <w:r>
        <w:rPr>
          <w:rFonts w:hint="default" w:ascii="Times New Roman" w:hAnsi="Times New Roman" w:eastAsia="宋体" w:cs="Times New Roman"/>
          <w:sz w:val="24"/>
          <w:szCs w:val="24"/>
          <w:lang w:val="en-US" w:eastAsia="zh-CN"/>
        </w:rPr>
        <w:t>要求，《危险废物收集、贮存、运输技术规范》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HJ2025-2012）和《危险废物转移联单管理办法》。</w:t>
      </w:r>
    </w:p>
    <w:p>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一般工业固体废物，须按照《一般工业固体废物贮存、处置场所污染控制标准》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GB18599-2001）要求进行处置。生活垃圾统一收集，交由环卫部门统一处置。</w:t>
      </w:r>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CN"/>
        </w:rPr>
        <w:t>（五）</w:t>
      </w:r>
      <w:r>
        <w:rPr>
          <w:rFonts w:hint="eastAsia" w:ascii="宋体" w:hAnsi="宋体" w:eastAsia="宋体" w:cs="宋体"/>
          <w:sz w:val="24"/>
          <w:szCs w:val="24"/>
          <w:lang w:val="en-US" w:eastAsia="zh-CN"/>
        </w:rPr>
        <w:t>强化环境风险防范和应急措施。完善企业现有突发环境事件应急预案</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备案号652800-2019-317-L）</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项目所在区域应建立区域应急联动机制，并加强应急演练，提高环境风险防范和应急处置能力。</w:t>
      </w:r>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eastAsia="宋体" w:cs="宋体"/>
          <w:sz w:val="24"/>
          <w:szCs w:val="24"/>
          <w:lang w:val="en-US" w:eastAsia="zh-CN"/>
        </w:rPr>
        <w:t>严格落实现有环境问题的整改方案，当地生态环境部门应加强监督检查，监督检查情况材料存档备查，整改措施未落实到位前本项目不得投运。</w:t>
      </w:r>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工程运行期必须严格执行区域污染物排放总量控制要求，确保工程实施后各类污染物排放总量控制在核定的指标内。工程运行排放污染物前，要按照相关规定申请取得排污许可证，在排污许可证中载明批准的环境影响报告书中各项环境保护措施、污染物排放清单等的执行情况及其他有关内容，并按证排污。</w:t>
      </w:r>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CN"/>
        </w:rPr>
        <w:t>五、</w:t>
      </w:r>
      <w:r>
        <w:rPr>
          <w:rFonts w:hint="eastAsia" w:ascii="宋体" w:hAnsi="宋体" w:eastAsia="宋体" w:cs="宋体"/>
          <w:sz w:val="24"/>
          <w:szCs w:val="24"/>
          <w:lang w:val="en-US" w:eastAsia="zh-CN"/>
        </w:rPr>
        <w:t>在工程施工和运营过程中，应建立畅通的公众参与平台，及时解决公众提出的环境问题，满足公众合理的环保要求。定期发布企业环境信息，并主动接受社会监督。</w:t>
      </w:r>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eastAsia="宋体" w:cs="宋体"/>
          <w:sz w:val="24"/>
          <w:szCs w:val="24"/>
          <w:lang w:val="en-US" w:eastAsia="zh-CN"/>
        </w:rPr>
        <w:t>项目日常环境监管工作由巴音郭楞蒙古自治州生态环境局、巴音郭楞蒙古自治州生态环境局库尔勒市分局负责，自治区生态环境保护综合行政执法局不定期抽查。项目竣工后，须按规定程序开展竣工环境保护验收，验收合格后，建设项目方可正式投入运行。如项目的性质、规模、地点、工艺或者防治污染、防止生态破坏的措施发生重大变动，你公司须重新向我厅报批环评文件。自环评文件批准之日起满5年，工程方决定开工建设，环评文件应当报我厅重新审核。</w:t>
      </w:r>
    </w:p>
    <w:p>
      <w:pPr>
        <w:bidi w:val="0"/>
        <w:rPr>
          <w:rFonts w:hint="eastAsia"/>
          <w:lang w:val="en-US" w:eastAsia="zh-CN"/>
        </w:rPr>
      </w:pPr>
      <w:r>
        <w:rPr>
          <w:rFonts w:hint="eastAsia" w:ascii="宋体" w:hAnsi="宋体" w:eastAsia="宋体" w:cs="宋体"/>
          <w:sz w:val="24"/>
          <w:szCs w:val="24"/>
          <w:lang w:val="en-US" w:eastAsia="zh-CN"/>
        </w:rPr>
        <w:t>七、你公司应在收到本批复后20个工作日内，将批准后的《报告书》分别送巴音郭楞蒙古自治州生态环境局、巴音郭楞蒙古自治州生态环境局库尔勒市分局，并按规定接受各级生态环境行政主管部门的监督检查。</w:t>
      </w:r>
    </w:p>
    <w:p>
      <w:pPr>
        <w:pStyle w:val="3"/>
        <w:rPr>
          <w:rFonts w:cs="Times New Roman"/>
        </w:rPr>
      </w:pPr>
      <w:bookmarkStart w:id="122" w:name="_Toc11718"/>
      <w:r>
        <w:rPr>
          <w:rFonts w:cs="Times New Roman"/>
        </w:rPr>
        <w:t>5.3环评批复落实情况</w:t>
      </w:r>
      <w:bookmarkEnd w:id="122"/>
    </w:p>
    <w:p>
      <w:pPr>
        <w:ind w:firstLine="480"/>
        <w:rPr>
          <w:rFonts w:cs="Times New Roman"/>
        </w:rPr>
      </w:pPr>
      <w:r>
        <w:rPr>
          <w:rFonts w:hint="eastAsia"/>
          <w:lang w:eastAsia="zh-CN"/>
        </w:rPr>
        <w:t>新疆中测</w:t>
      </w:r>
      <w:r>
        <w:rPr>
          <w:rFonts w:hint="eastAsia"/>
          <w:lang w:val="en-US" w:eastAsia="zh-CN"/>
        </w:rPr>
        <w:t>环保科技有限</w:t>
      </w:r>
      <w:r>
        <w:rPr>
          <w:rFonts w:hint="eastAsia"/>
          <w:lang w:eastAsia="zh-CN"/>
        </w:rPr>
        <w:t>公司</w:t>
      </w:r>
      <w:r>
        <w:rPr>
          <w:rFonts w:hint="eastAsia"/>
        </w:rPr>
        <w:t>对</w:t>
      </w:r>
      <w:r>
        <w:rPr>
          <w:rFonts w:hint="eastAsia" w:cs="Times New Roman"/>
          <w:szCs w:val="24"/>
          <w:lang w:eastAsia="zh-CN"/>
        </w:rPr>
        <w:t>新疆中泰兴苇生物科技有限公司日产125吨生活用纸产品升级改造项目</w:t>
      </w:r>
      <w:r>
        <w:rPr>
          <w:rFonts w:hint="eastAsia"/>
        </w:rPr>
        <w:t>环评批复要求及配套环保设施运行情况进行了现场检查，项目环评批复要求落实情况见表5</w:t>
      </w:r>
      <w:r>
        <w:t>-1</w:t>
      </w:r>
      <w:r>
        <w:rPr>
          <w:rFonts w:cs="Times New Roman"/>
        </w:rPr>
        <w:t>。</w:t>
      </w:r>
    </w:p>
    <w:p>
      <w:pPr>
        <w:pStyle w:val="21"/>
        <w:rPr>
          <w:rFonts w:cs="Times New Roman"/>
        </w:rPr>
      </w:pPr>
    </w:p>
    <w:p>
      <w:pPr>
        <w:pStyle w:val="21"/>
        <w:rPr>
          <w:rFonts w:cs="Times New Roman"/>
        </w:rPr>
      </w:pPr>
    </w:p>
    <w:p>
      <w:pPr>
        <w:pStyle w:val="21"/>
        <w:rPr>
          <w:rFonts w:cs="Times New Roman"/>
        </w:rPr>
      </w:pPr>
    </w:p>
    <w:p>
      <w:pPr>
        <w:pStyle w:val="21"/>
        <w:rPr>
          <w:rFonts w:cs="Times New Roman"/>
        </w:rPr>
      </w:pPr>
    </w:p>
    <w:p>
      <w:pPr>
        <w:pStyle w:val="21"/>
        <w:rPr>
          <w:rFonts w:cs="Times New Roman"/>
        </w:rPr>
      </w:pPr>
      <w:r>
        <w:rPr>
          <w:rFonts w:cs="Times New Roman"/>
        </w:rPr>
        <w:t>表5-1项目环评批复要求落实情况一览表</w:t>
      </w:r>
    </w:p>
    <w:tbl>
      <w:tblPr>
        <w:tblStyle w:val="24"/>
        <w:tblW w:w="897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2"/>
        <w:gridCol w:w="3778"/>
        <w:gridCol w:w="3318"/>
        <w:gridCol w:w="11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6" w:hRule="atLeast"/>
        </w:trPr>
        <w:tc>
          <w:tcPr>
            <w:tcW w:w="71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环评批复意见</w:t>
            </w:r>
          </w:p>
        </w:tc>
        <w:tc>
          <w:tcPr>
            <w:tcW w:w="331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落实情况</w:t>
            </w:r>
          </w:p>
        </w:tc>
        <w:tc>
          <w:tcPr>
            <w:tcW w:w="11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备注与说明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456" w:hRule="atLeast"/>
        </w:trPr>
        <w:tc>
          <w:tcPr>
            <w:tcW w:w="71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新疆中泰兴苇生物科技有限公司日产125吨生活用纸产品升级改造项目</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以下简称</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本项目</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）位于库尔勒经济技术开发</w:t>
            </w:r>
            <w:r>
              <w:rPr>
                <w:rFonts w:hint="default" w:ascii="Times New Roman" w:hAnsi="Times New Roman" w:eastAsia="宋体" w:cs="Times New Roman"/>
                <w:color w:val="auto"/>
                <w:sz w:val="21"/>
                <w:szCs w:val="21"/>
                <w:lang w:val="en-US" w:eastAsia="zh-CN"/>
              </w:rPr>
              <w:t>区东南部的库尔勒纺织服装配套暨冀疆合作区</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以下简称</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合作区</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）纺织印染功能区造纸包装印刷产业区中的新疆中泰兴苇生物科技有限公司现有厂区内。项目区中心地理坐标为东经86°18′34.27"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北纬41°31′48.62"。本项目建设性质为改建，主要建设日产125吨生活用纸生产设施，产品包括大轴纸、卫生纸卷和抽纸。项目工程内容主要为：主体工程包括1#造纸车间、2#造纸车间，现有浆板车间关停拆除2#浆板机；公辅工程为新建成品库房；环保工程包括新建造纸车间除尘设施、噪声污染治理工程、一般工业固废暂存设施、地下水防渗工程等，其他设施依托现有工程。项目总投资18301万元，其中环保投资318万元，约占总投资的1.74%。</w:t>
            </w:r>
          </w:p>
        </w:tc>
        <w:tc>
          <w:tcPr>
            <w:tcW w:w="331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经调查，</w:t>
            </w:r>
            <w:r>
              <w:rPr>
                <w:rFonts w:hint="default" w:ascii="Times New Roman" w:hAnsi="Times New Roman" w:eastAsia="宋体" w:cs="Times New Roman"/>
                <w:color w:val="auto"/>
                <w:sz w:val="21"/>
                <w:szCs w:val="21"/>
                <w:lang w:val="en-US" w:eastAsia="zh-CN"/>
              </w:rPr>
              <w:t>该项目位于库尔勒经济技术开发区东南部的库尔勒纺织服装配套暨冀疆合作区</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以下简称</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合作区</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纺织印染功能区造纸包装印刷产业区中的新疆中泰兴苇生物科技有限公司现有厂区内。项目区中心地理坐标为东经86°18′34.27"，北纬41°31′48.62"。本项目建设性质为改建，主要建设日产125吨生活用纸生产设施，产品包括大轴纸、卫生纸卷和抽纸。项目工程内容主要为：主体工程包括1#造纸车间、2#造纸车间，现有浆板车间关停2#浆板机；公辅工程为新建成品库房；环保工程包括新建造纸车间除尘设施、噪声污染治理工程、</w:t>
            </w:r>
            <w:r>
              <w:rPr>
                <w:rFonts w:hint="eastAsia" w:ascii="宋体" w:hAnsi="宋体" w:eastAsia="宋体" w:cs="宋体"/>
                <w:color w:val="auto"/>
                <w:sz w:val="21"/>
                <w:szCs w:val="21"/>
                <w:lang w:val="en-US" w:eastAsia="zh-CN"/>
              </w:rPr>
              <w:t>一般工业固废暂存设施、地下水防渗工程等，其他设施依托现有工程。项目总投资18301万元，其中环保投资318万元，约占总投资的1.74%。</w:t>
            </w:r>
          </w:p>
        </w:tc>
        <w:tc>
          <w:tcPr>
            <w:tcW w:w="11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1"/>
                <w:szCs w:val="21"/>
              </w:rPr>
            </w:pPr>
          </w:p>
          <w:p>
            <w:pPr>
              <w:pStyle w:val="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p>
          <w:p>
            <w:pPr>
              <w:pStyle w:val="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rPr>
            </w:pPr>
            <w:r>
              <w:rPr>
                <w:rFonts w:hint="eastAsia" w:ascii="宋体" w:hAnsi="宋体" w:eastAsia="宋体" w:cs="宋体"/>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64" w:hRule="atLeast"/>
        </w:trPr>
        <w:tc>
          <w:tcPr>
            <w:tcW w:w="71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格落实大气污染防治措施。施工期严禁大风天气进行大量土方作业，施工现场设置围栏，临时堆场和易起尘物料堆放点应进行全遮盖，及时采取洒水降尘措施。运营期产生的废气主要为纸机干燥起皱工序、复卷分切工序、后加工工序含尘废气，主要污染物为颗粒物。经集尘罩捕集、袋式除尘器处理后，通过15米高排气筒排放，颗粒物排放浓度、排放速率须符合《大气污染物综合排放标准》</w:t>
            </w:r>
            <w:r>
              <w:rPr>
                <w:rFonts w:hint="eastAsia" w:ascii="宋体" w:hAnsi="宋体" w:cs="宋体"/>
                <w:color w:val="auto"/>
                <w:sz w:val="21"/>
                <w:szCs w:val="21"/>
                <w:lang w:eastAsia="zh-CN"/>
              </w:rPr>
              <w:t>（</w:t>
            </w:r>
            <w:r>
              <w:rPr>
                <w:rFonts w:hint="eastAsia" w:ascii="宋体" w:hAnsi="宋体" w:eastAsia="宋体" w:cs="宋体"/>
                <w:color w:val="auto"/>
                <w:sz w:val="21"/>
                <w:szCs w:val="21"/>
              </w:rPr>
              <w:t>GB16297-1996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表2排放限值。无组织废气主要为造纸车间逸散粉尘，主要污染物为颗粒物；纸机干燥部湿热气体，主要为水蒸气。纸机干燥部湿热气体经造纸机设备自带集气罩收集，由轴流风机抽出车间，经屋顶排气装置直接排空。厂界处颗粒物浓度须符合《大气污染物综合排放标准》</w:t>
            </w:r>
            <w:r>
              <w:rPr>
                <w:rFonts w:hint="eastAsia" w:ascii="宋体" w:hAnsi="宋体" w:cs="宋体"/>
                <w:color w:val="auto"/>
                <w:sz w:val="21"/>
                <w:szCs w:val="21"/>
                <w:lang w:eastAsia="zh-CN"/>
              </w:rPr>
              <w:t>（</w:t>
            </w:r>
            <w:r>
              <w:rPr>
                <w:rFonts w:hint="eastAsia" w:ascii="宋体" w:hAnsi="宋体" w:eastAsia="宋体" w:cs="宋体"/>
                <w:color w:val="auto"/>
                <w:sz w:val="21"/>
                <w:szCs w:val="21"/>
              </w:rPr>
              <w:t>GB16297-1996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表2限值。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p>
        </w:tc>
        <w:tc>
          <w:tcPr>
            <w:tcW w:w="331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经调查，</w:t>
            </w:r>
            <w:r>
              <w:rPr>
                <w:rFonts w:hint="eastAsia" w:ascii="宋体" w:hAnsi="宋体" w:eastAsia="宋体" w:cs="宋体"/>
                <w:color w:val="auto"/>
                <w:sz w:val="21"/>
                <w:szCs w:val="21"/>
                <w:lang w:val="en-US" w:eastAsia="zh-CN"/>
              </w:rPr>
              <w:t>项目施工期已结束，无施工期遗留影响。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w:t>
            </w:r>
            <w:r>
              <w:rPr>
                <w:rFonts w:hint="eastAsia" w:ascii="宋体" w:hAnsi="宋体" w:eastAsia="宋体" w:cs="宋体"/>
                <w:color w:val="auto"/>
                <w:sz w:val="21"/>
                <w:szCs w:val="21"/>
                <w:lang w:val="en-US" w:eastAsia="zh-CN"/>
              </w:rPr>
              <w:t>运营期产生的废气主要是纸机干燥起皱工序、复卷分切工序、后加工工序含尘废气，主要污染物为颗粒物，经现场调查，产生的废气经集气罩捕集、布袋除尘器处理后通过15米高排气筒排放，根据监测报告显示，颗粒物排放浓度符合</w:t>
            </w:r>
            <w:r>
              <w:rPr>
                <w:rFonts w:hint="eastAsia" w:ascii="宋体" w:hAnsi="宋体" w:eastAsia="宋体" w:cs="宋体"/>
                <w:color w:val="auto"/>
                <w:sz w:val="21"/>
                <w:szCs w:val="21"/>
              </w:rPr>
              <w:t>《大气污染物综合排放标准》</w:t>
            </w:r>
            <w:r>
              <w:rPr>
                <w:rFonts w:hint="eastAsia" w:ascii="宋体" w:hAnsi="宋体" w:cs="宋体"/>
                <w:color w:val="auto"/>
                <w:sz w:val="21"/>
                <w:szCs w:val="21"/>
                <w:lang w:eastAsia="zh-CN"/>
              </w:rPr>
              <w:t>（</w:t>
            </w:r>
            <w:r>
              <w:rPr>
                <w:rFonts w:hint="eastAsia" w:ascii="宋体" w:hAnsi="宋体" w:eastAsia="宋体" w:cs="宋体"/>
                <w:color w:val="auto"/>
                <w:sz w:val="21"/>
                <w:szCs w:val="21"/>
              </w:rPr>
              <w:t>GB16297-1996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表2排放限值。</w:t>
            </w:r>
            <w:r>
              <w:rPr>
                <w:rFonts w:hint="eastAsia" w:ascii="宋体" w:hAnsi="宋体" w:eastAsia="宋体" w:cs="宋体"/>
                <w:color w:val="auto"/>
                <w:sz w:val="21"/>
                <w:szCs w:val="21"/>
                <w:lang w:val="en-US" w:eastAsia="zh-CN"/>
              </w:rPr>
              <w:t>无组织废气主要为造纸车间逸散粉尘，主要污染物为颗粒物，</w:t>
            </w:r>
            <w:r>
              <w:rPr>
                <w:rFonts w:hint="eastAsia" w:ascii="宋体" w:hAnsi="宋体" w:eastAsia="宋体" w:cs="宋体"/>
                <w:color w:val="auto"/>
                <w:sz w:val="21"/>
                <w:szCs w:val="21"/>
              </w:rPr>
              <w:t>纸机干燥部湿热气体，主要为水蒸气。纸机干燥部湿热气体经造纸机设备自带集气罩收集，由轴流风机抽出车间，经屋顶排气装置直接排空。</w:t>
            </w:r>
            <w:r>
              <w:rPr>
                <w:rFonts w:hint="eastAsia" w:ascii="宋体" w:hAnsi="宋体" w:eastAsia="宋体" w:cs="宋体"/>
                <w:color w:val="auto"/>
                <w:sz w:val="21"/>
                <w:szCs w:val="21"/>
                <w:lang w:val="en-US" w:eastAsia="zh-CN"/>
              </w:rPr>
              <w:t>根据监测报告显示</w:t>
            </w:r>
            <w:r>
              <w:rPr>
                <w:rFonts w:hint="eastAsia" w:ascii="宋体" w:hAnsi="宋体" w:eastAsia="宋体" w:cs="宋体"/>
                <w:color w:val="auto"/>
                <w:sz w:val="21"/>
                <w:szCs w:val="21"/>
              </w:rPr>
              <w:t>厂界</w:t>
            </w:r>
            <w:r>
              <w:rPr>
                <w:rFonts w:hint="eastAsia" w:ascii="宋体" w:hAnsi="宋体" w:eastAsia="宋体" w:cs="宋体"/>
                <w:color w:val="auto"/>
                <w:sz w:val="21"/>
                <w:szCs w:val="21"/>
                <w:lang w:val="en-US" w:eastAsia="zh-CN"/>
              </w:rPr>
              <w:t>处</w:t>
            </w:r>
            <w:r>
              <w:rPr>
                <w:rFonts w:hint="eastAsia" w:ascii="宋体" w:hAnsi="宋体" w:eastAsia="宋体" w:cs="宋体"/>
                <w:color w:val="auto"/>
                <w:sz w:val="21"/>
                <w:szCs w:val="21"/>
              </w:rPr>
              <w:t>颗粒物浓度</w:t>
            </w:r>
            <w:r>
              <w:rPr>
                <w:rFonts w:hint="eastAsia" w:ascii="宋体" w:hAnsi="宋体" w:eastAsia="宋体" w:cs="宋体"/>
                <w:color w:val="auto"/>
                <w:sz w:val="21"/>
                <w:szCs w:val="21"/>
                <w:lang w:val="en-US" w:eastAsia="zh-CN"/>
              </w:rPr>
              <w:t>最大值为，</w:t>
            </w:r>
            <w:r>
              <w:rPr>
                <w:rFonts w:hint="eastAsia" w:ascii="宋体" w:hAnsi="宋体" w:eastAsia="宋体" w:cs="宋体"/>
                <w:color w:val="auto"/>
                <w:sz w:val="21"/>
                <w:szCs w:val="21"/>
              </w:rPr>
              <w:t>符合《大气污染物综合排放标准》</w:t>
            </w:r>
            <w:r>
              <w:rPr>
                <w:rFonts w:hint="eastAsia" w:ascii="宋体" w:hAnsi="宋体" w:cs="宋体"/>
                <w:color w:val="auto"/>
                <w:sz w:val="21"/>
                <w:szCs w:val="21"/>
                <w:lang w:eastAsia="zh-CN"/>
              </w:rPr>
              <w:t>（</w:t>
            </w:r>
            <w:r>
              <w:rPr>
                <w:rFonts w:hint="eastAsia" w:ascii="宋体" w:hAnsi="宋体" w:eastAsia="宋体" w:cs="宋体"/>
                <w:color w:val="auto"/>
                <w:sz w:val="21"/>
                <w:szCs w:val="21"/>
              </w:rPr>
              <w:t>GB16297-1996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表2限值</w:t>
            </w:r>
            <w:r>
              <w:rPr>
                <w:rFonts w:hint="eastAsia" w:ascii="宋体" w:hAnsi="宋体" w:eastAsia="宋体" w:cs="宋体"/>
                <w:color w:val="auto"/>
                <w:sz w:val="21"/>
                <w:szCs w:val="21"/>
                <w:lang w:val="en-US" w:eastAsia="zh-CN"/>
              </w:rPr>
              <w:t>要求</w:t>
            </w:r>
            <w:r>
              <w:rPr>
                <w:rFonts w:hint="eastAsia" w:ascii="宋体" w:hAnsi="宋体" w:eastAsia="宋体" w:cs="宋体"/>
                <w:color w:val="auto"/>
                <w:sz w:val="21"/>
                <w:szCs w:val="21"/>
              </w:rPr>
              <w:t>。</w:t>
            </w:r>
          </w:p>
        </w:tc>
        <w:tc>
          <w:tcPr>
            <w:tcW w:w="11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sz w:val="21"/>
                <w:szCs w:val="21"/>
              </w:rPr>
              <w:t>严格落实各项水污染防治措施。运营期造纸白水经多圆盘白水回收系统处理后全部回用，烘缸冷凝水全部送入厂内现有热电车间回用，真空泵水封废水排入厂区现有污水处理站处理，新增生活污水经厂区现有生活污水处理设施</w:t>
            </w:r>
            <w:r>
              <w:rPr>
                <w:rFonts w:hint="eastAsia" w:ascii="宋体" w:hAnsi="宋体" w:cs="宋体"/>
                <w:sz w:val="21"/>
                <w:szCs w:val="21"/>
                <w:lang w:eastAsia="zh-CN"/>
              </w:rPr>
              <w:t>（</w:t>
            </w:r>
            <w:r>
              <w:rPr>
                <w:rFonts w:hint="eastAsia" w:ascii="宋体" w:hAnsi="宋体" w:eastAsia="宋体" w:cs="宋体"/>
                <w:sz w:val="21"/>
                <w:szCs w:val="21"/>
              </w:rPr>
              <w:t>化粪池</w:t>
            </w:r>
            <w:r>
              <w:rPr>
                <w:rFonts w:hint="eastAsia" w:ascii="宋体" w:hAnsi="宋体" w:eastAsia="宋体" w:cs="宋体"/>
                <w:sz w:val="21"/>
                <w:szCs w:val="21"/>
                <w:lang w:eastAsia="zh-CN"/>
              </w:rPr>
              <w:t>）</w:t>
            </w:r>
            <w:r>
              <w:rPr>
                <w:rFonts w:hint="eastAsia" w:ascii="宋体" w:hAnsi="宋体" w:eastAsia="宋体" w:cs="宋体"/>
                <w:sz w:val="21"/>
                <w:szCs w:val="21"/>
              </w:rPr>
              <w:t>处理后排入园区污水管网。</w:t>
            </w:r>
            <w:r>
              <w:rPr>
                <w:rFonts w:hint="default" w:ascii="Times New Roman" w:hAnsi="Times New Roman" w:eastAsia="宋体" w:cs="Times New Roman"/>
                <w:sz w:val="21"/>
                <w:szCs w:val="21"/>
              </w:rPr>
              <w:t>厂区现有污水处理站处理后废水部分回用于制浆等生产，其余废水满足《制浆造纸工业水污染物排放标准》</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GB3544-2088</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中表2新建企业污染物排放限值后排入园区污水处理厂处理。厂区采取分区防渗措施，重点防渗区包括浆池、白水池和应急事故池的池底池壁、白水导流收集管道，防渗层防渗性能不低于6米厚、渗透系数1×10</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vertAlign w:val="superscript"/>
              </w:rPr>
              <w:t>⁷</w:t>
            </w:r>
            <w:r>
              <w:rPr>
                <w:rFonts w:hint="default" w:ascii="Times New Roman" w:hAnsi="Times New Roman" w:eastAsia="宋体" w:cs="Times New Roman"/>
                <w:sz w:val="21"/>
                <w:szCs w:val="21"/>
              </w:rPr>
              <w:t>厘米/秒的黏土层的防渗性能；一般防渗区包括造纸生产车间地面，防渗层防渗性能不低于1.5米厚、渗透系数1×10</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vertAlign w:val="superscript"/>
              </w:rPr>
              <w:t>⁷</w:t>
            </w:r>
            <w:r>
              <w:rPr>
                <w:rFonts w:hint="default" w:ascii="Times New Roman" w:hAnsi="Times New Roman" w:eastAsia="宋体" w:cs="Times New Roman"/>
                <w:sz w:val="21"/>
                <w:szCs w:val="21"/>
              </w:rPr>
              <w:t>厘米/秒的黏土层的防渗性能；按规范设置地下水水质监测井，定期开展监测。</w:t>
            </w:r>
          </w:p>
        </w:tc>
        <w:tc>
          <w:tcPr>
            <w:tcW w:w="331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运营期造纸白水晶多圆盘白水回收系统处理后全部回用；烘缸冷凝水全部送入厂内现有热电车间回用，真空泵水封废水排入厂区现有污水处理站处理；新增生活污水经厂区现有生活污水处理设施</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化粪池）处理后排入园区污水管网。厂区现有污水处理站处理后废水部分回用于制浆等生产，其余废水满足《制浆造纸工业水污染物排放标准》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GB3544-2088）中表2新建企业污染物排放限值后排入园区污水处理厂处理。</w:t>
            </w:r>
          </w:p>
        </w:tc>
        <w:tc>
          <w:tcPr>
            <w:tcW w:w="11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rPr>
            </w:pPr>
            <w:r>
              <w:rPr>
                <w:rFonts w:hint="eastAsia" w:ascii="宋体" w:hAnsi="宋体" w:eastAsia="宋体" w:cs="宋体"/>
                <w:sz w:val="21"/>
                <w:szCs w:val="21"/>
              </w:rPr>
              <w:t>落实噪声污染防治措施。合理布局厂区内各功能区，选择低噪声设备、减震安装、墙体和隔声窗隔挡等措施，确保运行期厂界噪声满足《工业企业厂界环境噪声排放标准》</w:t>
            </w:r>
            <w:r>
              <w:rPr>
                <w:rFonts w:hint="eastAsia" w:ascii="宋体" w:hAnsi="宋体" w:cs="宋体"/>
                <w:sz w:val="21"/>
                <w:szCs w:val="21"/>
                <w:lang w:eastAsia="zh-CN"/>
              </w:rPr>
              <w:t>（</w:t>
            </w:r>
            <w:r>
              <w:rPr>
                <w:rFonts w:hint="eastAsia" w:ascii="宋体" w:hAnsi="宋体" w:eastAsia="宋体" w:cs="宋体"/>
                <w:sz w:val="21"/>
                <w:szCs w:val="21"/>
              </w:rPr>
              <w:t>GB12348-2008</w:t>
            </w:r>
            <w:r>
              <w:rPr>
                <w:rFonts w:hint="eastAsia" w:ascii="宋体" w:hAnsi="宋体" w:eastAsia="宋体" w:cs="宋体"/>
                <w:sz w:val="21"/>
                <w:szCs w:val="21"/>
                <w:lang w:eastAsia="zh-CN"/>
              </w:rPr>
              <w:t>）</w:t>
            </w:r>
            <w:r>
              <w:rPr>
                <w:rFonts w:hint="eastAsia" w:ascii="宋体" w:hAnsi="宋体" w:eastAsia="宋体" w:cs="宋体"/>
                <w:sz w:val="21"/>
                <w:szCs w:val="21"/>
              </w:rPr>
              <w:t>中3类标准要求。</w:t>
            </w:r>
          </w:p>
        </w:tc>
        <w:tc>
          <w:tcPr>
            <w:tcW w:w="331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经调查，生产车间已尽可能选用低噪声设备并合理布局，对各类设备噪声源采用有效的减振、隔声、消音等降噪措施，经监测，厂界噪声达到国家《工业企业厂界环境噪声排放标准》</w:t>
            </w:r>
            <w:r>
              <w:rPr>
                <w:rFonts w:hint="eastAsia" w:ascii="宋体" w:hAnsi="宋体" w:cs="宋体"/>
                <w:color w:val="auto"/>
                <w:sz w:val="21"/>
                <w:szCs w:val="21"/>
                <w:lang w:eastAsia="zh-CN"/>
              </w:rPr>
              <w:t>（</w:t>
            </w:r>
            <w:r>
              <w:rPr>
                <w:rFonts w:hint="eastAsia" w:ascii="宋体" w:hAnsi="宋体" w:eastAsia="宋体" w:cs="宋体"/>
                <w:color w:val="auto"/>
                <w:sz w:val="21"/>
                <w:szCs w:val="21"/>
              </w:rPr>
              <w:t>GB12348-2008</w:t>
            </w:r>
            <w:r>
              <w:rPr>
                <w:rFonts w:hint="eastAsia" w:ascii="宋体" w:hAnsi="宋体" w:cs="宋体"/>
                <w:color w:val="auto"/>
                <w:sz w:val="21"/>
                <w:szCs w:val="21"/>
                <w:lang w:eastAsia="zh-CN"/>
              </w:rPr>
              <w:t>）</w:t>
            </w:r>
            <w:r>
              <w:rPr>
                <w:rFonts w:hint="eastAsia" w:ascii="宋体" w:hAnsi="宋体" w:eastAsia="宋体" w:cs="宋体"/>
                <w:color w:val="auto"/>
                <w:sz w:val="21"/>
                <w:szCs w:val="21"/>
              </w:rPr>
              <w:t>中3类标准限值。</w:t>
            </w:r>
          </w:p>
        </w:tc>
        <w:tc>
          <w:tcPr>
            <w:tcW w:w="11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8" w:hRule="atLeast"/>
        </w:trPr>
        <w:tc>
          <w:tcPr>
            <w:tcW w:w="71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p>
        </w:tc>
        <w:tc>
          <w:tcPr>
            <w:tcW w:w="37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加强固体废物的分类管理。运营期危险废物包括废润滑油及润滑油、液压油废包装桶，暂存于厂内现有危险废物暂存库，最终委托有相应资质的危险废物处理单位处置。危险废物收集、贮存、运输须符合</w:t>
            </w:r>
            <w:r>
              <w:rPr>
                <w:rFonts w:hint="eastAsia" w:cs="Times New Roman"/>
                <w:sz w:val="24"/>
                <w:szCs w:val="24"/>
                <w:lang w:val="en-US" w:eastAsia="zh-CN"/>
              </w:rPr>
              <w:t>《危险废物贮存污染控制标准》（GB18597-2023）中</w:t>
            </w:r>
            <w:r>
              <w:rPr>
                <w:rFonts w:hint="default" w:ascii="Times New Roman" w:hAnsi="Times New Roman" w:eastAsia="宋体" w:cs="Times New Roman"/>
                <w:sz w:val="24"/>
                <w:szCs w:val="24"/>
                <w:lang w:val="en-US" w:eastAsia="zh-CN"/>
              </w:rPr>
              <w:t>要求，《危险废物收集、贮存、运输技术规范》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HJ2025-2012）和《危险废物转移联单管理办法》。</w:t>
            </w:r>
          </w:p>
          <w:p>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一般工业固体废物，须按照《一般工业固体废物贮存、处置场所污染控制标准》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GB18599-2001）要求进行处置。生活垃圾统一收集，交由环卫部门统一处置。</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tc>
        <w:tc>
          <w:tcPr>
            <w:tcW w:w="3318" w:type="dxa"/>
            <w:vAlign w:val="center"/>
          </w:tcPr>
          <w:p>
            <w:pPr>
              <w:rPr>
                <w:rFonts w:hint="eastAsia" w:ascii="宋体" w:hAnsi="宋体" w:eastAsia="宋体" w:cs="宋体"/>
                <w:color w:val="auto"/>
                <w:sz w:val="21"/>
                <w:szCs w:val="21"/>
                <w:lang w:val="en-US" w:eastAsia="zh-CN"/>
              </w:rPr>
            </w:pPr>
            <w:r>
              <w:rPr>
                <w:rFonts w:hint="eastAsia" w:cs="Times New Roman"/>
              </w:rPr>
              <w:t>本项目运营期危险废物包括废润滑油及润滑油、液压油废包装桶，暂存于厂内现有危险废物暂存库，</w:t>
            </w:r>
            <w:r>
              <w:rPr>
                <w:rFonts w:cs="Times New Roman"/>
              </w:rPr>
              <w:t>委托</w:t>
            </w:r>
            <w:r>
              <w:rPr>
                <w:rFonts w:hint="eastAsia" w:cs="Times New Roman"/>
                <w:lang w:val="en-US" w:eastAsia="zh-CN"/>
              </w:rPr>
              <w:t>巴州联合环境治理有限公司转运</w:t>
            </w:r>
            <w:r>
              <w:rPr>
                <w:rFonts w:cs="Times New Roman"/>
              </w:rPr>
              <w:t>处理</w:t>
            </w:r>
            <w:r>
              <w:rPr>
                <w:rFonts w:hint="eastAsia" w:cs="Times New Roman"/>
              </w:rPr>
              <w:t>，</w:t>
            </w:r>
            <w:r>
              <w:rPr>
                <w:rFonts w:cs="Times New Roman"/>
                <w:szCs w:val="24"/>
              </w:rPr>
              <w:t>不会对周围环境产生明显影响。</w:t>
            </w:r>
            <w:r>
              <w:rPr>
                <w:rFonts w:hint="eastAsia" w:ascii="宋体" w:hAnsi="宋体" w:eastAsia="宋体" w:cs="宋体"/>
                <w:sz w:val="24"/>
                <w:szCs w:val="24"/>
                <w:lang w:val="en-US" w:eastAsia="zh-CN"/>
              </w:rPr>
              <w:t>生活垃圾统一收集，交由环卫部门统一处置。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rPr>
            </w:pPr>
          </w:p>
        </w:tc>
        <w:tc>
          <w:tcPr>
            <w:tcW w:w="11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4" w:hRule="atLeast"/>
        </w:trPr>
        <w:tc>
          <w:tcPr>
            <w:tcW w:w="71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6</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强化环境风险防范和应急措施。完善企业现有突发环境事件应急预案</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备案号652800-2019-317-L）</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项目所在区域应建立区域应急联动机制，并加强应急演练，提高环境风险防范和应急处置能力。</w:t>
            </w:r>
          </w:p>
        </w:tc>
        <w:tc>
          <w:tcPr>
            <w:tcW w:w="331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经调查，</w:t>
            </w:r>
            <w:r>
              <w:rPr>
                <w:rFonts w:hint="eastAsia" w:ascii="宋体" w:hAnsi="宋体" w:eastAsia="宋体" w:cs="宋体"/>
                <w:color w:val="auto"/>
                <w:sz w:val="21"/>
                <w:szCs w:val="21"/>
                <w:lang w:val="en-US" w:eastAsia="zh-CN"/>
              </w:rPr>
              <w:t>企业已备案突发环境事件应急预案</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项目所在区域应建立区域应急联动机制，并加强应急演练，提高环境风险防范和应急处置能力。</w:t>
            </w:r>
          </w:p>
        </w:tc>
        <w:tc>
          <w:tcPr>
            <w:tcW w:w="11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已落实</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p>
        </w:tc>
      </w:tr>
    </w:tbl>
    <w:p>
      <w:pPr>
        <w:pStyle w:val="2"/>
        <w:rPr>
          <w:rFonts w:cs="Times New Roman"/>
        </w:rPr>
      </w:pPr>
      <w:bookmarkStart w:id="123" w:name="_Toc3619"/>
      <w:r>
        <w:rPr>
          <w:rFonts w:cs="Times New Roman"/>
        </w:rPr>
        <w:t>6.验收执行标准</w:t>
      </w:r>
      <w:bookmarkEnd w:id="123"/>
    </w:p>
    <w:p>
      <w:pPr>
        <w:pStyle w:val="3"/>
      </w:pPr>
      <w:bookmarkStart w:id="124" w:name="_Toc7592"/>
      <w:bookmarkStart w:id="125" w:name="_Toc18915028"/>
      <w:bookmarkStart w:id="126" w:name="_Toc3514"/>
      <w:bookmarkStart w:id="127" w:name="_Toc17365016"/>
      <w:r>
        <w:t>6.1废气</w:t>
      </w:r>
      <w:bookmarkEnd w:id="124"/>
      <w:bookmarkEnd w:id="125"/>
      <w:bookmarkEnd w:id="126"/>
    </w:p>
    <w:p>
      <w:pPr>
        <w:adjustRightInd w:val="0"/>
        <w:snapToGrid w:val="0"/>
        <w:ind w:firstLine="480"/>
      </w:pPr>
      <w:r>
        <w:rPr>
          <w:rFonts w:hint="eastAsia"/>
        </w:rPr>
        <w:t>本项目</w:t>
      </w:r>
      <w:r>
        <w:rPr>
          <w:rFonts w:hint="eastAsia" w:ascii="宋体" w:hAnsi="宋体" w:eastAsia="宋体" w:cs="宋体"/>
        </w:rPr>
        <w:t>运营期产生的废气主要为纸机干燥起皱工序、复卷分切工序、后加工工序含尘废气，主要污染物为颗粒物。经集尘罩捕集、袋式除尘器处理后，通过15米高排气筒排放，颗粒物排放浓度、排放速率须符合《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表2排放限值。</w:t>
      </w:r>
      <w:r>
        <w:rPr>
          <w:rFonts w:hint="eastAsia" w:cs="Times New Roman"/>
          <w:szCs w:val="24"/>
        </w:rPr>
        <w:t>见表</w:t>
      </w:r>
      <w:r>
        <w:t>6-1。</w:t>
      </w:r>
    </w:p>
    <w:p>
      <w:pPr>
        <w:pStyle w:val="21"/>
      </w:pPr>
      <w:r>
        <w:t>表6-1废气污染物排放标准一览表</w:t>
      </w:r>
    </w:p>
    <w:tbl>
      <w:tblPr>
        <w:tblStyle w:val="23"/>
        <w:tblW w:w="893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6"/>
        <w:gridCol w:w="1275"/>
        <w:gridCol w:w="1850"/>
        <w:gridCol w:w="1764"/>
        <w:gridCol w:w="27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286" w:type="dxa"/>
            <w:vAlign w:val="center"/>
          </w:tcPr>
          <w:p>
            <w:pPr>
              <w:pStyle w:val="31"/>
              <w:rPr>
                <w:sz w:val="21"/>
                <w:szCs w:val="21"/>
              </w:rPr>
            </w:pPr>
            <w:r>
              <w:rPr>
                <w:sz w:val="21"/>
                <w:szCs w:val="21"/>
              </w:rPr>
              <w:t>污染源名称</w:t>
            </w:r>
          </w:p>
        </w:tc>
        <w:tc>
          <w:tcPr>
            <w:tcW w:w="1275" w:type="dxa"/>
            <w:vAlign w:val="center"/>
          </w:tcPr>
          <w:p>
            <w:pPr>
              <w:pStyle w:val="31"/>
              <w:rPr>
                <w:sz w:val="21"/>
                <w:szCs w:val="21"/>
              </w:rPr>
            </w:pPr>
            <w:r>
              <w:rPr>
                <w:sz w:val="21"/>
                <w:szCs w:val="21"/>
              </w:rPr>
              <w:t>污染物</w:t>
            </w:r>
          </w:p>
        </w:tc>
        <w:tc>
          <w:tcPr>
            <w:tcW w:w="1850" w:type="dxa"/>
            <w:vAlign w:val="center"/>
          </w:tcPr>
          <w:p>
            <w:pPr>
              <w:pStyle w:val="31"/>
              <w:rPr>
                <w:sz w:val="21"/>
                <w:szCs w:val="21"/>
              </w:rPr>
            </w:pPr>
            <w:r>
              <w:rPr>
                <w:sz w:val="21"/>
                <w:szCs w:val="21"/>
              </w:rPr>
              <w:t>最高允许排放浓度</w:t>
            </w:r>
            <w:r>
              <w:rPr>
                <w:rFonts w:hint="eastAsia"/>
                <w:sz w:val="21"/>
                <w:szCs w:val="21"/>
                <w:lang w:eastAsia="zh-CN"/>
              </w:rPr>
              <w:t>（</w:t>
            </w:r>
            <w:r>
              <w:rPr>
                <w:sz w:val="21"/>
                <w:szCs w:val="21"/>
              </w:rPr>
              <w:t>mg/</w:t>
            </w:r>
            <w:r>
              <w:rPr>
                <w:rFonts w:hint="eastAsia"/>
                <w:sz w:val="21"/>
                <w:szCs w:val="21"/>
                <w:lang w:eastAsia="zh-CN"/>
              </w:rPr>
              <w:t>m</w:t>
            </w:r>
            <w:r>
              <w:rPr>
                <w:rFonts w:hint="eastAsia"/>
                <w:sz w:val="21"/>
                <w:szCs w:val="21"/>
                <w:vertAlign w:val="superscript"/>
                <w:lang w:eastAsia="zh-CN"/>
              </w:rPr>
              <w:t>3</w:t>
            </w:r>
            <w:r>
              <w:rPr>
                <w:sz w:val="21"/>
                <w:szCs w:val="21"/>
              </w:rPr>
              <w:t>）</w:t>
            </w:r>
          </w:p>
        </w:tc>
        <w:tc>
          <w:tcPr>
            <w:tcW w:w="1764" w:type="dxa"/>
            <w:vAlign w:val="center"/>
          </w:tcPr>
          <w:p>
            <w:pPr>
              <w:pStyle w:val="31"/>
              <w:rPr>
                <w:sz w:val="21"/>
                <w:szCs w:val="21"/>
              </w:rPr>
            </w:pPr>
            <w:r>
              <w:rPr>
                <w:sz w:val="21"/>
                <w:szCs w:val="21"/>
              </w:rPr>
              <w:t>排气筒高度</w:t>
            </w:r>
            <w:r>
              <w:rPr>
                <w:rFonts w:hint="eastAsia"/>
                <w:sz w:val="21"/>
                <w:szCs w:val="21"/>
                <w:lang w:eastAsia="zh-CN"/>
              </w:rPr>
              <w:t>（</w:t>
            </w:r>
            <w:r>
              <w:rPr>
                <w:sz w:val="21"/>
                <w:szCs w:val="21"/>
              </w:rPr>
              <w:t>m）</w:t>
            </w:r>
          </w:p>
        </w:tc>
        <w:tc>
          <w:tcPr>
            <w:tcW w:w="2759" w:type="dxa"/>
            <w:vAlign w:val="center"/>
          </w:tcPr>
          <w:p>
            <w:pPr>
              <w:pStyle w:val="31"/>
              <w:rPr>
                <w:sz w:val="21"/>
                <w:szCs w:val="21"/>
              </w:rPr>
            </w:pPr>
            <w:r>
              <w:rPr>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86" w:type="dxa"/>
            <w:vAlign w:val="center"/>
          </w:tcPr>
          <w:p>
            <w:pPr>
              <w:pStyle w:val="31"/>
              <w:rPr>
                <w:sz w:val="21"/>
                <w:szCs w:val="21"/>
              </w:rPr>
            </w:pPr>
            <w:r>
              <w:rPr>
                <w:rFonts w:hint="eastAsia"/>
                <w:sz w:val="21"/>
                <w:szCs w:val="21"/>
                <w:lang w:val="en-US" w:eastAsia="zh-CN"/>
              </w:rPr>
              <w:t>有组织</w:t>
            </w:r>
            <w:r>
              <w:rPr>
                <w:rFonts w:hint="eastAsia"/>
                <w:sz w:val="21"/>
                <w:szCs w:val="21"/>
              </w:rPr>
              <w:t>废气</w:t>
            </w:r>
          </w:p>
        </w:tc>
        <w:tc>
          <w:tcPr>
            <w:tcW w:w="1275" w:type="dxa"/>
            <w:vAlign w:val="center"/>
          </w:tcPr>
          <w:p>
            <w:pPr>
              <w:pStyle w:val="31"/>
              <w:rPr>
                <w:rFonts w:hint="default" w:eastAsia="宋体"/>
                <w:sz w:val="21"/>
                <w:szCs w:val="21"/>
                <w:lang w:val="en-US" w:eastAsia="zh-CN"/>
              </w:rPr>
            </w:pPr>
            <w:r>
              <w:rPr>
                <w:rFonts w:hint="eastAsia"/>
                <w:sz w:val="21"/>
                <w:szCs w:val="21"/>
                <w:lang w:val="en-US" w:eastAsia="zh-CN"/>
              </w:rPr>
              <w:t>颗粒物</w:t>
            </w:r>
          </w:p>
        </w:tc>
        <w:tc>
          <w:tcPr>
            <w:tcW w:w="1850" w:type="dxa"/>
            <w:vAlign w:val="center"/>
          </w:tcPr>
          <w:p>
            <w:pPr>
              <w:pStyle w:val="31"/>
              <w:rPr>
                <w:rFonts w:hint="default"/>
                <w:sz w:val="21"/>
                <w:szCs w:val="21"/>
                <w:lang w:val="en-US"/>
              </w:rPr>
            </w:pPr>
            <w:r>
              <w:rPr>
                <w:rFonts w:hint="eastAsia"/>
                <w:sz w:val="21"/>
                <w:szCs w:val="21"/>
                <w:lang w:val="en-US" w:eastAsia="zh-CN"/>
              </w:rPr>
              <w:t>120</w:t>
            </w:r>
          </w:p>
        </w:tc>
        <w:tc>
          <w:tcPr>
            <w:tcW w:w="1764" w:type="dxa"/>
            <w:vAlign w:val="center"/>
          </w:tcPr>
          <w:p>
            <w:pPr>
              <w:pStyle w:val="31"/>
              <w:rPr>
                <w:sz w:val="21"/>
                <w:szCs w:val="21"/>
              </w:rPr>
            </w:pPr>
            <w:r>
              <w:rPr>
                <w:rFonts w:hint="eastAsia"/>
                <w:sz w:val="21"/>
                <w:szCs w:val="21"/>
              </w:rPr>
              <w:t>15</w:t>
            </w:r>
          </w:p>
        </w:tc>
        <w:tc>
          <w:tcPr>
            <w:tcW w:w="2759" w:type="dxa"/>
            <w:vAlign w:val="center"/>
          </w:tcPr>
          <w:p>
            <w:pPr>
              <w:pStyle w:val="31"/>
              <w:rPr>
                <w:rFonts w:hint="eastAsia" w:eastAsia="宋体"/>
                <w:sz w:val="21"/>
                <w:szCs w:val="21"/>
                <w:lang w:eastAsia="zh-CN"/>
              </w:rPr>
            </w:pPr>
            <w:r>
              <w:rPr>
                <w:rFonts w:hint="eastAsia" w:ascii="宋体" w:hAnsi="宋体" w:eastAsia="宋体" w:cs="宋体"/>
              </w:rPr>
              <w:t>《大气污染物综合排放标准》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w:t>
            </w:r>
          </w:p>
        </w:tc>
      </w:tr>
    </w:tbl>
    <w:p>
      <w:pPr>
        <w:spacing w:before="163" w:beforeLines="50"/>
        <w:ind w:firstLine="480"/>
      </w:pPr>
      <w:r>
        <w:rPr>
          <w:rFonts w:hint="eastAsia" w:cs="Times New Roman"/>
          <w:szCs w:val="24"/>
          <w:lang w:eastAsia="zh-CN"/>
        </w:rPr>
        <w:t>企业边界</w:t>
      </w:r>
      <w:r>
        <w:rPr>
          <w:rFonts w:hint="eastAsia" w:cs="Times New Roman"/>
          <w:szCs w:val="24"/>
        </w:rPr>
        <w:t>无组织</w:t>
      </w:r>
      <w:r>
        <w:rPr>
          <w:rFonts w:hint="eastAsia" w:cs="Times New Roman"/>
          <w:szCs w:val="24"/>
          <w:lang w:eastAsia="zh-CN"/>
        </w:rPr>
        <w:t>颗粒物验收排放执行</w:t>
      </w:r>
      <w:r>
        <w:rPr>
          <w:rFonts w:hint="eastAsia" w:ascii="宋体" w:hAnsi="宋体" w:eastAsia="宋体" w:cs="宋体"/>
        </w:rPr>
        <w:t>《大气污染物综合排放标准》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表2排放限值</w:t>
      </w:r>
      <w:r>
        <w:rPr>
          <w:rFonts w:hint="eastAsia" w:cs="Times New Roman"/>
          <w:szCs w:val="24"/>
          <w:lang w:eastAsia="zh-CN"/>
        </w:rPr>
        <w:t>排放浓度</w:t>
      </w:r>
      <w:r>
        <w:rPr>
          <w:rFonts w:hint="eastAsia" w:cs="Times New Roman"/>
          <w:szCs w:val="24"/>
        </w:rPr>
        <w:t>限值颗粒物浓度限值1.0mg/m</w:t>
      </w:r>
      <w:r>
        <w:rPr>
          <w:rFonts w:hint="eastAsia" w:cs="Times New Roman"/>
          <w:szCs w:val="24"/>
          <w:vertAlign w:val="superscript"/>
          <w:lang w:val="en-US" w:eastAsia="zh-CN"/>
        </w:rPr>
        <w:t>3</w:t>
      </w:r>
      <w:r>
        <w:rPr>
          <w:rFonts w:cs="Times New Roman"/>
        </w:rPr>
        <w:t>要求</w:t>
      </w:r>
      <w:r>
        <w:t>，</w:t>
      </w:r>
      <w:r>
        <w:rPr>
          <w:rFonts w:hint="eastAsia"/>
          <w:lang w:eastAsia="zh-CN"/>
        </w:rPr>
        <w:t>详</w:t>
      </w:r>
      <w:r>
        <w:rPr>
          <w:rFonts w:hint="eastAsia"/>
        </w:rPr>
        <w:t>见表6</w:t>
      </w:r>
      <w:r>
        <w:t>-2</w:t>
      </w:r>
      <w:r>
        <w:rPr>
          <w:rFonts w:hint="eastAsia"/>
        </w:rPr>
        <w:t>。</w:t>
      </w:r>
    </w:p>
    <w:p>
      <w:pPr>
        <w:pStyle w:val="21"/>
      </w:pPr>
      <w:r>
        <w:rPr>
          <w:rFonts w:hint="eastAsia"/>
        </w:rPr>
        <w:t>表6</w:t>
      </w:r>
      <w:r>
        <w:t>-2</w:t>
      </w:r>
      <w:r>
        <w:rPr>
          <w:rFonts w:hint="eastAsia" w:cs="Times New Roman"/>
          <w:szCs w:val="24"/>
        </w:rPr>
        <w:t>企业</w:t>
      </w:r>
      <w:r>
        <w:rPr>
          <w:rFonts w:hint="eastAsia" w:cs="Times New Roman"/>
          <w:szCs w:val="24"/>
          <w:lang w:eastAsia="zh-CN"/>
        </w:rPr>
        <w:t>边界大气污染物排放标准</w:t>
      </w:r>
    </w:p>
    <w:tbl>
      <w:tblPr>
        <w:tblStyle w:val="23"/>
        <w:tblW w:w="890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8"/>
        <w:gridCol w:w="1794"/>
        <w:gridCol w:w="1406"/>
        <w:gridCol w:w="1780"/>
        <w:gridCol w:w="30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898" w:type="dxa"/>
            <w:vAlign w:val="center"/>
          </w:tcPr>
          <w:p>
            <w:pPr>
              <w:pStyle w:val="31"/>
            </w:pPr>
            <w:r>
              <w:t>类别</w:t>
            </w:r>
          </w:p>
        </w:tc>
        <w:tc>
          <w:tcPr>
            <w:tcW w:w="1794" w:type="dxa"/>
            <w:vAlign w:val="center"/>
          </w:tcPr>
          <w:p>
            <w:pPr>
              <w:pStyle w:val="31"/>
            </w:pPr>
            <w:r>
              <w:t>污染物名称</w:t>
            </w:r>
          </w:p>
        </w:tc>
        <w:tc>
          <w:tcPr>
            <w:tcW w:w="1406" w:type="dxa"/>
            <w:vAlign w:val="center"/>
          </w:tcPr>
          <w:p>
            <w:pPr>
              <w:pStyle w:val="31"/>
            </w:pPr>
            <w:r>
              <w:t>单位</w:t>
            </w:r>
          </w:p>
        </w:tc>
        <w:tc>
          <w:tcPr>
            <w:tcW w:w="1780" w:type="dxa"/>
            <w:vAlign w:val="center"/>
          </w:tcPr>
          <w:p>
            <w:pPr>
              <w:pStyle w:val="31"/>
            </w:pPr>
            <w:r>
              <w:t>标准值</w:t>
            </w:r>
          </w:p>
        </w:tc>
        <w:tc>
          <w:tcPr>
            <w:tcW w:w="3022" w:type="dxa"/>
            <w:vAlign w:val="center"/>
          </w:tcPr>
          <w:p>
            <w:pPr>
              <w:pStyle w:val="31"/>
            </w:pPr>
            <w: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2" w:hRule="atLeast"/>
        </w:trPr>
        <w:tc>
          <w:tcPr>
            <w:tcW w:w="898" w:type="dxa"/>
            <w:vAlign w:val="center"/>
          </w:tcPr>
          <w:p>
            <w:pPr>
              <w:pStyle w:val="31"/>
              <w:rPr>
                <w:rFonts w:hint="default" w:eastAsia="宋体"/>
                <w:lang w:val="en-US" w:eastAsia="zh-CN"/>
              </w:rPr>
            </w:pPr>
            <w:r>
              <w:rPr>
                <w:rFonts w:hint="eastAsia"/>
                <w:lang w:val="en-US" w:eastAsia="zh-CN"/>
              </w:rPr>
              <w:t>废气</w:t>
            </w:r>
          </w:p>
        </w:tc>
        <w:tc>
          <w:tcPr>
            <w:tcW w:w="1794" w:type="dxa"/>
            <w:vAlign w:val="center"/>
          </w:tcPr>
          <w:p>
            <w:pPr>
              <w:pStyle w:val="31"/>
            </w:pPr>
            <w:r>
              <w:rPr>
                <w:rFonts w:hint="eastAsia"/>
              </w:rPr>
              <w:t>颗粒物</w:t>
            </w:r>
          </w:p>
        </w:tc>
        <w:tc>
          <w:tcPr>
            <w:tcW w:w="1406" w:type="dxa"/>
            <w:vAlign w:val="center"/>
          </w:tcPr>
          <w:p>
            <w:pPr>
              <w:pStyle w:val="31"/>
              <w:rPr>
                <w:rFonts w:hint="eastAsia" w:eastAsia="宋体"/>
                <w:lang w:eastAsia="zh-CN"/>
              </w:rPr>
            </w:pPr>
            <w:r>
              <w:t>mg/</w:t>
            </w:r>
            <w:r>
              <w:rPr>
                <w:rFonts w:hint="eastAsia"/>
                <w:lang w:eastAsia="zh-CN"/>
              </w:rPr>
              <w:t>m</w:t>
            </w:r>
            <w:r>
              <w:rPr>
                <w:rFonts w:hint="eastAsia"/>
                <w:vertAlign w:val="superscript"/>
                <w:lang w:eastAsia="zh-CN"/>
              </w:rPr>
              <w:t>3</w:t>
            </w:r>
          </w:p>
        </w:tc>
        <w:tc>
          <w:tcPr>
            <w:tcW w:w="1780" w:type="dxa"/>
            <w:vAlign w:val="center"/>
          </w:tcPr>
          <w:p>
            <w:pPr>
              <w:pStyle w:val="31"/>
            </w:pPr>
            <w:r>
              <w:rPr>
                <w:rFonts w:hint="eastAsia"/>
              </w:rPr>
              <w:t>1.0</w:t>
            </w:r>
          </w:p>
        </w:tc>
        <w:tc>
          <w:tcPr>
            <w:tcW w:w="3022" w:type="dxa"/>
            <w:vAlign w:val="center"/>
          </w:tcPr>
          <w:p>
            <w:pPr>
              <w:pStyle w:val="31"/>
            </w:pPr>
            <w:r>
              <w:rPr>
                <w:rFonts w:hint="eastAsia" w:ascii="宋体" w:hAnsi="宋体" w:eastAsia="宋体" w:cs="宋体"/>
              </w:rPr>
              <w:t>《大气污染物综合排放标准》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w:t>
            </w:r>
          </w:p>
        </w:tc>
      </w:tr>
    </w:tbl>
    <w:p>
      <w:pPr>
        <w:pStyle w:val="3"/>
      </w:pPr>
      <w:bookmarkStart w:id="128" w:name="_Toc23631"/>
      <w:bookmarkStart w:id="129" w:name="_Toc18915029"/>
      <w:bookmarkStart w:id="130" w:name="_Toc6430"/>
      <w:r>
        <w:t>6.2噪声</w:t>
      </w:r>
      <w:bookmarkEnd w:id="128"/>
      <w:bookmarkEnd w:id="129"/>
      <w:bookmarkEnd w:id="130"/>
    </w:p>
    <w:p>
      <w:pPr>
        <w:ind w:firstLine="480"/>
      </w:pPr>
      <w:r>
        <w:t>本项目厂界噪声执行《工业企业厂界环境噪声排放标准》</w:t>
      </w:r>
      <w:r>
        <w:rPr>
          <w:rFonts w:hint="eastAsia"/>
          <w:lang w:eastAsia="zh-CN"/>
        </w:rPr>
        <w:t>（</w:t>
      </w:r>
      <w:r>
        <w:t>GB12348-2008）中3类标准，见表6-3。</w:t>
      </w:r>
    </w:p>
    <w:p>
      <w:pPr>
        <w:pStyle w:val="21"/>
      </w:pPr>
      <w:r>
        <w:t>表6-3工业企业厂界环境噪声排放标准</w:t>
      </w:r>
    </w:p>
    <w:tbl>
      <w:tblPr>
        <w:tblStyle w:val="23"/>
        <w:tblW w:w="89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13"/>
        <w:gridCol w:w="1540"/>
        <w:gridCol w:w="19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5413" w:type="dxa"/>
            <w:vMerge w:val="restart"/>
            <w:vAlign w:val="center"/>
          </w:tcPr>
          <w:p>
            <w:pPr>
              <w:pStyle w:val="31"/>
            </w:pPr>
            <w:r>
              <w:t>标准名称及类别</w:t>
            </w:r>
          </w:p>
        </w:tc>
        <w:tc>
          <w:tcPr>
            <w:tcW w:w="3487" w:type="dxa"/>
            <w:gridSpan w:val="2"/>
            <w:vAlign w:val="center"/>
          </w:tcPr>
          <w:p>
            <w:pPr>
              <w:pStyle w:val="31"/>
            </w:pPr>
            <w:r>
              <w:t>噪声限值单位：dB</w:t>
            </w:r>
            <w:r>
              <w:rPr>
                <w:rFonts w:hint="eastAsia"/>
                <w:lang w:eastAsia="zh-CN"/>
              </w:rPr>
              <w:t>（</w:t>
            </w:r>
            <w:r>
              <w:t>A</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4" w:hRule="atLeast"/>
          <w:jc w:val="center"/>
        </w:trPr>
        <w:tc>
          <w:tcPr>
            <w:tcW w:w="5413" w:type="dxa"/>
            <w:vMerge w:val="continue"/>
            <w:vAlign w:val="center"/>
          </w:tcPr>
          <w:p>
            <w:pPr>
              <w:pStyle w:val="31"/>
            </w:pPr>
          </w:p>
        </w:tc>
        <w:tc>
          <w:tcPr>
            <w:tcW w:w="1540" w:type="dxa"/>
            <w:vAlign w:val="center"/>
          </w:tcPr>
          <w:p>
            <w:pPr>
              <w:pStyle w:val="31"/>
            </w:pPr>
            <w:r>
              <w:t>昼间</w:t>
            </w:r>
          </w:p>
        </w:tc>
        <w:tc>
          <w:tcPr>
            <w:tcW w:w="1947" w:type="dxa"/>
            <w:vAlign w:val="center"/>
          </w:tcPr>
          <w:p>
            <w:pPr>
              <w:pStyle w:val="31"/>
            </w:pPr>
            <w: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5413" w:type="dxa"/>
            <w:vAlign w:val="center"/>
          </w:tcPr>
          <w:p>
            <w:pPr>
              <w:pStyle w:val="31"/>
            </w:pPr>
            <w:r>
              <w:t>《工业企业厂界环境噪声排放标准》</w:t>
            </w:r>
            <w:r>
              <w:rPr>
                <w:rFonts w:hint="eastAsia"/>
                <w:lang w:eastAsia="zh-CN"/>
              </w:rPr>
              <w:t>（</w:t>
            </w:r>
            <w:r>
              <w:t>GB12348-2008）</w:t>
            </w:r>
            <w:r>
              <w:rPr>
                <w:rFonts w:hint="eastAsia"/>
              </w:rPr>
              <w:t>表1中</w:t>
            </w:r>
            <w:r>
              <w:t>3类标准</w:t>
            </w:r>
          </w:p>
        </w:tc>
        <w:tc>
          <w:tcPr>
            <w:tcW w:w="1540" w:type="dxa"/>
            <w:vAlign w:val="center"/>
          </w:tcPr>
          <w:p>
            <w:pPr>
              <w:pStyle w:val="31"/>
            </w:pPr>
            <w:r>
              <w:t>65</w:t>
            </w:r>
          </w:p>
        </w:tc>
        <w:tc>
          <w:tcPr>
            <w:tcW w:w="1947" w:type="dxa"/>
            <w:vAlign w:val="center"/>
          </w:tcPr>
          <w:p>
            <w:pPr>
              <w:pStyle w:val="31"/>
            </w:pPr>
            <w:r>
              <w:t>55</w:t>
            </w:r>
          </w:p>
        </w:tc>
      </w:tr>
    </w:tbl>
    <w:p>
      <w:pPr>
        <w:pStyle w:val="3"/>
      </w:pPr>
      <w:bookmarkStart w:id="131" w:name="_Toc18915030"/>
      <w:bookmarkStart w:id="132" w:name="_Toc6533"/>
      <w:bookmarkStart w:id="133" w:name="_Toc21482"/>
      <w:r>
        <w:rPr>
          <w:rFonts w:hint="eastAsia"/>
        </w:rPr>
        <w:t>6</w:t>
      </w:r>
      <w:r>
        <w:t>.3</w:t>
      </w:r>
      <w:bookmarkEnd w:id="131"/>
      <w:r>
        <w:rPr>
          <w:rFonts w:hint="eastAsia"/>
        </w:rPr>
        <w:t>废水</w:t>
      </w:r>
      <w:bookmarkEnd w:id="132"/>
      <w:bookmarkEnd w:id="133"/>
    </w:p>
    <w:p>
      <w:pPr>
        <w:ind w:firstLine="480"/>
        <w:rPr>
          <w:rFonts w:hint="eastAsia" w:ascii="宋体" w:hAnsi="宋体" w:eastAsia="宋体" w:cs="宋体"/>
        </w:rPr>
      </w:pPr>
      <w:r>
        <w:t>本项目</w:t>
      </w:r>
      <w:r>
        <w:rPr>
          <w:rFonts w:hint="eastAsia" w:ascii="宋体" w:hAnsi="宋体" w:eastAsia="宋体" w:cs="宋体"/>
        </w:rPr>
        <w:t>运营期造纸白水经多圆盘白水回收系统处理后全部回用，烘缸冷凝水全部送入厂内现有热电车间回用，真空泵水封废水排入厂区现有污水处理站处理，新增生活污水经厂区现有生活污水处理设施</w:t>
      </w:r>
      <w:r>
        <w:rPr>
          <w:rFonts w:hint="eastAsia" w:ascii="宋体" w:hAnsi="宋体" w:cs="宋体"/>
          <w:lang w:eastAsia="zh-CN"/>
        </w:rPr>
        <w:t>（</w:t>
      </w:r>
      <w:r>
        <w:rPr>
          <w:rFonts w:hint="eastAsia" w:ascii="宋体" w:hAnsi="宋体" w:eastAsia="宋体" w:cs="宋体"/>
        </w:rPr>
        <w:t>化粪池</w:t>
      </w:r>
      <w:r>
        <w:rPr>
          <w:rFonts w:hint="eastAsia" w:ascii="宋体" w:hAnsi="宋体" w:eastAsia="宋体" w:cs="宋体"/>
          <w:lang w:eastAsia="zh-CN"/>
        </w:rPr>
        <w:t>）</w:t>
      </w:r>
      <w:r>
        <w:rPr>
          <w:rFonts w:hint="eastAsia" w:ascii="宋体" w:hAnsi="宋体" w:eastAsia="宋体" w:cs="宋体"/>
        </w:rPr>
        <w:t>处理后排入园区污水管网。厂区现有污水处理站处理后废水部分回用于制浆等生产，其余废水满足《制浆造纸工业水污染物排放标准》</w:t>
      </w:r>
      <w:r>
        <w:rPr>
          <w:rFonts w:hint="eastAsia" w:ascii="宋体" w:hAnsi="宋体" w:cs="宋体"/>
          <w:lang w:eastAsia="zh-CN"/>
        </w:rPr>
        <w:t>（</w:t>
      </w:r>
      <w:r>
        <w:rPr>
          <w:rFonts w:hint="eastAsia" w:ascii="宋体" w:hAnsi="宋体" w:eastAsia="宋体" w:cs="宋体"/>
        </w:rPr>
        <w:t>GB3544-2088</w:t>
      </w:r>
      <w:r>
        <w:rPr>
          <w:rFonts w:hint="eastAsia" w:ascii="宋体" w:hAnsi="宋体" w:eastAsia="宋体" w:cs="宋体"/>
          <w:lang w:eastAsia="zh-CN"/>
        </w:rPr>
        <w:t>）</w:t>
      </w:r>
      <w:r>
        <w:rPr>
          <w:rFonts w:hint="eastAsia" w:ascii="宋体" w:hAnsi="宋体" w:eastAsia="宋体" w:cs="宋体"/>
        </w:rPr>
        <w:t>中表2新建企业污染物排放限值后排入园区污水处理厂处理。</w:t>
      </w:r>
    </w:p>
    <w:p>
      <w:pPr>
        <w:pStyle w:val="2"/>
      </w:pPr>
      <w:bookmarkStart w:id="134" w:name="_Toc30909"/>
      <w:bookmarkStart w:id="135" w:name="_Toc18915032"/>
      <w:bookmarkStart w:id="136" w:name="_Toc23117"/>
      <w:r>
        <w:t>7.验收监测内容</w:t>
      </w:r>
      <w:bookmarkEnd w:id="134"/>
      <w:bookmarkEnd w:id="135"/>
      <w:bookmarkEnd w:id="136"/>
    </w:p>
    <w:p>
      <w:pPr>
        <w:pStyle w:val="3"/>
        <w:bidi w:val="0"/>
      </w:pPr>
      <w:bookmarkStart w:id="137" w:name="_Toc18915033"/>
      <w:bookmarkStart w:id="138" w:name="_Toc13810"/>
      <w:bookmarkStart w:id="139" w:name="_Toc31162"/>
      <w:r>
        <w:t>7.1</w:t>
      </w:r>
      <w:bookmarkEnd w:id="137"/>
      <w:bookmarkStart w:id="140" w:name="_Toc18915034"/>
      <w:r>
        <w:t>环境保护设施调试运行效果</w:t>
      </w:r>
      <w:bookmarkEnd w:id="138"/>
      <w:bookmarkEnd w:id="139"/>
      <w:bookmarkEnd w:id="140"/>
    </w:p>
    <w:p/>
    <w:p>
      <w:pPr>
        <w:pStyle w:val="21"/>
        <w:tabs>
          <w:tab w:val="left" w:pos="5453"/>
          <w:tab w:val="center" w:pos="7000"/>
        </w:tabs>
        <w:jc w:val="left"/>
        <w:rPr>
          <w:rFonts w:hint="eastAsia"/>
        </w:rPr>
        <w:sectPr>
          <w:pgSz w:w="11906" w:h="16838"/>
          <w:pgMar w:top="1418" w:right="1588" w:bottom="1418" w:left="1418" w:header="851" w:footer="992" w:gutter="0"/>
          <w:pgNumType w:fmt="decimal"/>
          <w:cols w:space="425" w:num="1"/>
          <w:docGrid w:type="lines" w:linePitch="326" w:charSpace="0"/>
        </w:sectPr>
      </w:pPr>
    </w:p>
    <w:p>
      <w:pPr>
        <w:pStyle w:val="4"/>
        <w:bidi w:val="0"/>
      </w:pPr>
      <w:bookmarkStart w:id="141" w:name="_Toc16100"/>
      <w:r>
        <w:t>7.1.1废气</w:t>
      </w:r>
      <w:r>
        <w:rPr>
          <w:rFonts w:hint="eastAsia"/>
        </w:rPr>
        <w:t>监测</w:t>
      </w:r>
      <w:bookmarkEnd w:id="141"/>
    </w:p>
    <w:p>
      <w:pPr>
        <w:ind w:firstLine="480"/>
      </w:pPr>
      <w:r>
        <w:rPr>
          <w:rFonts w:hint="eastAsia"/>
        </w:rPr>
        <w:t>大气污染物监测内容见表</w:t>
      </w:r>
      <w:r>
        <w:t>7-2</w:t>
      </w:r>
      <w:r>
        <w:rPr>
          <w:rFonts w:hint="eastAsia"/>
        </w:rPr>
        <w:t>。</w:t>
      </w:r>
    </w:p>
    <w:p>
      <w:pPr>
        <w:pStyle w:val="21"/>
      </w:pPr>
      <w:r>
        <w:t>表</w:t>
      </w:r>
      <w:r>
        <w:rPr>
          <w:rFonts w:hint="eastAsia"/>
        </w:rPr>
        <w:t>7-</w:t>
      </w:r>
      <w:r>
        <w:t>2</w:t>
      </w:r>
      <w:r>
        <w:rPr>
          <w:rFonts w:hint="eastAsia"/>
          <w:lang w:val="en-US" w:eastAsia="zh-CN"/>
        </w:rPr>
        <w:t xml:space="preserve">  </w:t>
      </w:r>
      <w:r>
        <w:t>废</w:t>
      </w:r>
      <w:r>
        <w:rPr>
          <w:rFonts w:hint="eastAsia"/>
        </w:rPr>
        <w:t>气</w:t>
      </w:r>
      <w:r>
        <w:t>监测内容</w:t>
      </w:r>
    </w:p>
    <w:tbl>
      <w:tblPr>
        <w:tblStyle w:val="23"/>
        <w:tblW w:w="890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77"/>
        <w:gridCol w:w="2410"/>
        <w:gridCol w:w="2666"/>
        <w:gridCol w:w="25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pPr>
              <w:pStyle w:val="31"/>
            </w:pPr>
            <w:r>
              <w:rPr>
                <w:rFonts w:hint="eastAsia"/>
              </w:rPr>
              <w:t>废气类别</w:t>
            </w:r>
          </w:p>
        </w:tc>
        <w:tc>
          <w:tcPr>
            <w:tcW w:w="2410" w:type="dxa"/>
            <w:vAlign w:val="center"/>
          </w:tcPr>
          <w:p>
            <w:pPr>
              <w:pStyle w:val="31"/>
            </w:pPr>
            <w:r>
              <w:rPr>
                <w:rFonts w:hint="eastAsia"/>
              </w:rPr>
              <w:t>监测采样点位</w:t>
            </w:r>
          </w:p>
        </w:tc>
        <w:tc>
          <w:tcPr>
            <w:tcW w:w="2666" w:type="dxa"/>
            <w:vAlign w:val="center"/>
          </w:tcPr>
          <w:p>
            <w:pPr>
              <w:pStyle w:val="31"/>
            </w:pPr>
            <w:r>
              <w:rPr>
                <w:rFonts w:hint="eastAsia"/>
              </w:rPr>
              <w:t>监测因子</w:t>
            </w:r>
          </w:p>
        </w:tc>
        <w:tc>
          <w:tcPr>
            <w:tcW w:w="2547" w:type="dxa"/>
            <w:vAlign w:val="center"/>
          </w:tcPr>
          <w:p>
            <w:pPr>
              <w:pStyle w:val="31"/>
            </w:pPr>
            <w:r>
              <w:rPr>
                <w:rFonts w:hint="eastAsia"/>
              </w:rPr>
              <w:t>监测频率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pPr>
              <w:pStyle w:val="31"/>
            </w:pPr>
            <w:r>
              <w:rPr>
                <w:rFonts w:hint="eastAsia"/>
              </w:rPr>
              <w:t>无组织废气</w:t>
            </w:r>
          </w:p>
        </w:tc>
        <w:tc>
          <w:tcPr>
            <w:tcW w:w="2410" w:type="dxa"/>
            <w:vAlign w:val="center"/>
          </w:tcPr>
          <w:p>
            <w:pPr>
              <w:pStyle w:val="31"/>
            </w:pPr>
            <w:r>
              <w:rPr>
                <w:rFonts w:hint="eastAsia"/>
              </w:rPr>
              <w:t>上风向1个点参照点、下风向3个监测点</w:t>
            </w:r>
          </w:p>
        </w:tc>
        <w:tc>
          <w:tcPr>
            <w:tcW w:w="2666" w:type="dxa"/>
            <w:vAlign w:val="center"/>
          </w:tcPr>
          <w:p>
            <w:pPr>
              <w:pStyle w:val="31"/>
            </w:pPr>
            <w:r>
              <w:rPr>
                <w:rFonts w:hint="eastAsia"/>
              </w:rPr>
              <w:t>颗粒物</w:t>
            </w:r>
          </w:p>
        </w:tc>
        <w:tc>
          <w:tcPr>
            <w:tcW w:w="2547" w:type="dxa"/>
            <w:vAlign w:val="center"/>
          </w:tcPr>
          <w:p>
            <w:pPr>
              <w:pStyle w:val="31"/>
            </w:pPr>
            <w:r>
              <w:t>3</w:t>
            </w:r>
            <w:r>
              <w:rPr>
                <w:rFonts w:hint="eastAsia"/>
              </w:rPr>
              <w:t>次</w:t>
            </w:r>
            <w:r>
              <w:rPr>
                <w:rFonts w:hint="eastAsia"/>
                <w:lang w:val="en-US" w:eastAsia="zh-CN"/>
              </w:rPr>
              <w:t>/天，监测2天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Merge w:val="restart"/>
            <w:vAlign w:val="center"/>
          </w:tcPr>
          <w:p>
            <w:pPr>
              <w:pStyle w:val="31"/>
            </w:pPr>
            <w:r>
              <w:rPr>
                <w:rFonts w:hint="eastAsia"/>
              </w:rPr>
              <w:t>有组织废气</w:t>
            </w:r>
          </w:p>
        </w:tc>
        <w:tc>
          <w:tcPr>
            <w:tcW w:w="2410" w:type="dxa"/>
            <w:vAlign w:val="center"/>
          </w:tcPr>
          <w:p>
            <w:pPr>
              <w:pStyle w:val="31"/>
            </w:pPr>
            <w:r>
              <w:rPr>
                <w:rFonts w:hint="eastAsia"/>
              </w:rPr>
              <w:t>排气筒</w:t>
            </w:r>
          </w:p>
        </w:tc>
        <w:tc>
          <w:tcPr>
            <w:tcW w:w="2666" w:type="dxa"/>
            <w:vAlign w:val="center"/>
          </w:tcPr>
          <w:p>
            <w:pPr>
              <w:pStyle w:val="31"/>
              <w:rPr>
                <w:rFonts w:hint="eastAsia" w:eastAsia="宋体"/>
                <w:lang w:eastAsia="zh-CN"/>
              </w:rPr>
            </w:pPr>
            <w:r>
              <w:rPr>
                <w:rFonts w:hint="eastAsia"/>
                <w:lang w:val="en-US" w:eastAsia="zh-CN"/>
              </w:rPr>
              <w:t>颗粒物</w:t>
            </w:r>
          </w:p>
        </w:tc>
        <w:tc>
          <w:tcPr>
            <w:tcW w:w="2547" w:type="dxa"/>
            <w:vAlign w:val="center"/>
          </w:tcPr>
          <w:p>
            <w:pPr>
              <w:pStyle w:val="31"/>
              <w:rPr>
                <w:rFonts w:hint="default" w:eastAsia="宋体"/>
                <w:lang w:val="en-US" w:eastAsia="zh-CN"/>
              </w:rPr>
            </w:pPr>
            <w:r>
              <w:t>3</w:t>
            </w:r>
            <w:r>
              <w:rPr>
                <w:rFonts w:hint="eastAsia"/>
              </w:rPr>
              <w:t>次</w:t>
            </w:r>
            <w:r>
              <w:rPr>
                <w:rFonts w:hint="eastAsia"/>
                <w:lang w:val="en-US" w:eastAsia="zh-CN"/>
              </w:rPr>
              <w:t>/天，监测2天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Merge w:val="continue"/>
            <w:vAlign w:val="center"/>
          </w:tcPr>
          <w:p>
            <w:pPr>
              <w:pStyle w:val="31"/>
              <w:rPr>
                <w:rFonts w:hint="eastAsia"/>
              </w:rPr>
            </w:pPr>
            <w:bookmarkStart w:id="142" w:name="_Toc5092"/>
            <w:bookmarkStart w:id="143" w:name="_Toc18915037"/>
          </w:p>
        </w:tc>
        <w:tc>
          <w:tcPr>
            <w:tcW w:w="2410" w:type="dxa"/>
            <w:vAlign w:val="center"/>
          </w:tcPr>
          <w:p>
            <w:pPr>
              <w:pStyle w:val="31"/>
              <w:ind w:left="0" w:leftChars="0" w:firstLine="0" w:firstLineChars="0"/>
              <w:rPr>
                <w:rFonts w:hint="eastAsia" w:ascii="Times New Roman" w:hAnsi="Times New Roman" w:eastAsia="宋体" w:cstheme="minorBidi"/>
                <w:kern w:val="2"/>
                <w:sz w:val="21"/>
                <w:szCs w:val="22"/>
                <w:lang w:val="en-US" w:eastAsia="zh-CN" w:bidi="ar-SA"/>
              </w:rPr>
            </w:pPr>
            <w:r>
              <w:rPr>
                <w:rFonts w:hint="eastAsia"/>
              </w:rPr>
              <w:t>排气筒</w:t>
            </w:r>
          </w:p>
        </w:tc>
        <w:tc>
          <w:tcPr>
            <w:tcW w:w="2666" w:type="dxa"/>
            <w:vAlign w:val="center"/>
          </w:tcPr>
          <w:p>
            <w:pPr>
              <w:pStyle w:val="31"/>
              <w:ind w:left="0" w:leftChars="0" w:firstLine="0" w:firstLineChars="0"/>
              <w:rPr>
                <w:rFonts w:hint="eastAsia" w:ascii="Times New Roman" w:hAnsi="Times New Roman" w:eastAsia="宋体" w:cstheme="minorBidi"/>
                <w:kern w:val="2"/>
                <w:sz w:val="21"/>
                <w:szCs w:val="22"/>
                <w:lang w:val="en-US" w:eastAsia="zh-CN" w:bidi="ar-SA"/>
              </w:rPr>
            </w:pPr>
            <w:r>
              <w:rPr>
                <w:rFonts w:hint="eastAsia"/>
                <w:lang w:val="en-US" w:eastAsia="zh-CN"/>
              </w:rPr>
              <w:t>颗粒物</w:t>
            </w:r>
          </w:p>
        </w:tc>
        <w:tc>
          <w:tcPr>
            <w:tcW w:w="2547" w:type="dxa"/>
            <w:vAlign w:val="center"/>
          </w:tcPr>
          <w:p>
            <w:pPr>
              <w:pStyle w:val="31"/>
              <w:ind w:left="0" w:leftChars="0" w:firstLine="0" w:firstLineChars="0"/>
              <w:rPr>
                <w:rFonts w:hint="default" w:ascii="Times New Roman" w:hAnsi="Times New Roman" w:eastAsia="宋体" w:cstheme="minorBidi"/>
                <w:kern w:val="2"/>
                <w:sz w:val="21"/>
                <w:szCs w:val="22"/>
                <w:lang w:val="en-US" w:eastAsia="zh-CN" w:bidi="ar-SA"/>
              </w:rPr>
            </w:pPr>
            <w:r>
              <w:t>3</w:t>
            </w:r>
            <w:r>
              <w:rPr>
                <w:rFonts w:hint="eastAsia"/>
              </w:rPr>
              <w:t>次</w:t>
            </w:r>
            <w:r>
              <w:rPr>
                <w:rFonts w:hint="eastAsia"/>
                <w:lang w:val="en-US" w:eastAsia="zh-CN"/>
              </w:rPr>
              <w:t>/天，监测2天</w:t>
            </w:r>
          </w:p>
        </w:tc>
      </w:tr>
    </w:tbl>
    <w:p>
      <w:pPr>
        <w:pStyle w:val="4"/>
        <w:bidi w:val="0"/>
      </w:pPr>
      <w:bookmarkStart w:id="144" w:name="_Toc4996"/>
      <w:r>
        <w:t>7.1.2厂界噪声监测</w:t>
      </w:r>
      <w:bookmarkEnd w:id="142"/>
      <w:bookmarkEnd w:id="143"/>
      <w:bookmarkEnd w:id="144"/>
    </w:p>
    <w:p>
      <w:pPr>
        <w:ind w:firstLine="480"/>
      </w:pPr>
      <w:r>
        <w:rPr>
          <w:rFonts w:hint="eastAsia"/>
        </w:rPr>
        <w:t>厂界环境噪声监测内容见表</w:t>
      </w:r>
      <w:r>
        <w:t>7-3</w:t>
      </w:r>
      <w:r>
        <w:rPr>
          <w:rFonts w:hint="eastAsia"/>
        </w:rPr>
        <w:t>。</w:t>
      </w:r>
    </w:p>
    <w:p>
      <w:pPr>
        <w:pStyle w:val="21"/>
      </w:pPr>
      <w:r>
        <w:t>表</w:t>
      </w:r>
      <w:r>
        <w:rPr>
          <w:rFonts w:hint="eastAsia"/>
        </w:rPr>
        <w:t>7-</w:t>
      </w:r>
      <w:r>
        <w:t>3</w:t>
      </w:r>
      <w:r>
        <w:rPr>
          <w:rFonts w:hint="eastAsia"/>
          <w:lang w:val="en-US" w:eastAsia="zh-CN"/>
        </w:rPr>
        <w:t xml:space="preserve">  </w:t>
      </w:r>
      <w:r>
        <w:t>噪声监测内容</w:t>
      </w:r>
    </w:p>
    <w:tbl>
      <w:tblPr>
        <w:tblStyle w:val="23"/>
        <w:tblW w:w="887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110"/>
        <w:gridCol w:w="2659"/>
        <w:gridCol w:w="41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49" w:hRule="atLeast"/>
          <w:jc w:val="center"/>
        </w:trPr>
        <w:tc>
          <w:tcPr>
            <w:tcW w:w="2110" w:type="dxa"/>
            <w:vAlign w:val="center"/>
          </w:tcPr>
          <w:p>
            <w:pPr>
              <w:pStyle w:val="31"/>
            </w:pPr>
            <w:r>
              <w:rPr>
                <w:rFonts w:hint="eastAsia"/>
              </w:rPr>
              <w:t>监测项目</w:t>
            </w:r>
          </w:p>
        </w:tc>
        <w:tc>
          <w:tcPr>
            <w:tcW w:w="2659" w:type="dxa"/>
            <w:vAlign w:val="center"/>
          </w:tcPr>
          <w:p>
            <w:pPr>
              <w:pStyle w:val="31"/>
            </w:pPr>
            <w:r>
              <w:rPr>
                <w:rFonts w:hint="eastAsia"/>
              </w:rPr>
              <w:t>监测采样点位</w:t>
            </w:r>
          </w:p>
        </w:tc>
        <w:tc>
          <w:tcPr>
            <w:tcW w:w="4110" w:type="dxa"/>
            <w:vAlign w:val="center"/>
          </w:tcPr>
          <w:p>
            <w:pPr>
              <w:pStyle w:val="31"/>
            </w:pPr>
            <w:r>
              <w:rPr>
                <w:rFonts w:hint="eastAsia"/>
              </w:rPr>
              <w:t>监测频率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8" w:hRule="atLeast"/>
          <w:jc w:val="center"/>
        </w:trPr>
        <w:tc>
          <w:tcPr>
            <w:tcW w:w="2110" w:type="dxa"/>
            <w:vAlign w:val="center"/>
          </w:tcPr>
          <w:p>
            <w:pPr>
              <w:pStyle w:val="31"/>
            </w:pPr>
            <w:r>
              <w:rPr>
                <w:rFonts w:hint="eastAsia"/>
              </w:rPr>
              <w:t>等效声级</w:t>
            </w:r>
          </w:p>
        </w:tc>
        <w:tc>
          <w:tcPr>
            <w:tcW w:w="2659" w:type="dxa"/>
            <w:vAlign w:val="center"/>
          </w:tcPr>
          <w:p>
            <w:pPr>
              <w:pStyle w:val="31"/>
            </w:pPr>
            <w:r>
              <w:rPr>
                <w:rFonts w:hint="eastAsia"/>
              </w:rPr>
              <w:t>厂界四周</w:t>
            </w:r>
          </w:p>
        </w:tc>
        <w:tc>
          <w:tcPr>
            <w:tcW w:w="4110" w:type="dxa"/>
            <w:vAlign w:val="center"/>
          </w:tcPr>
          <w:p>
            <w:pPr>
              <w:pStyle w:val="31"/>
            </w:pPr>
            <w:r>
              <w:rPr>
                <w:rFonts w:hint="eastAsia"/>
              </w:rPr>
              <w:t>监测</w:t>
            </w:r>
            <w:r>
              <w:t>2</w:t>
            </w:r>
            <w:r>
              <w:rPr>
                <w:rFonts w:hint="eastAsia"/>
              </w:rPr>
              <w:t>天，昼、夜间各采样</w:t>
            </w:r>
            <w:r>
              <w:t>1</w:t>
            </w:r>
            <w:r>
              <w:rPr>
                <w:rFonts w:hint="eastAsia"/>
              </w:rPr>
              <w:t>次</w:t>
            </w:r>
          </w:p>
        </w:tc>
      </w:tr>
    </w:tbl>
    <w:p>
      <w:pPr>
        <w:pStyle w:val="2"/>
        <w:rPr>
          <w:rFonts w:hint="eastAsia"/>
          <w:lang w:val="en-US" w:eastAsia="zh-CN"/>
        </w:rPr>
      </w:pPr>
      <w:bookmarkStart w:id="145" w:name="_Toc15867"/>
      <w:bookmarkStart w:id="146" w:name="_Toc18915038"/>
      <w:bookmarkStart w:id="147" w:name="_Toc4306"/>
      <w:r>
        <w:rPr>
          <w:rFonts w:hint="eastAsia"/>
          <w:lang w:val="en-US" w:eastAsia="zh-CN"/>
        </w:rPr>
        <w:t>7.1.3 地下水监测</w:t>
      </w:r>
      <w:bookmarkEnd w:id="145"/>
    </w:p>
    <w:p>
      <w:pPr>
        <w:rPr>
          <w:rFonts w:hint="eastAsia"/>
          <w:lang w:val="en-US" w:eastAsia="zh-CN"/>
        </w:rPr>
      </w:pPr>
      <w:r>
        <w:rPr>
          <w:rFonts w:hint="eastAsia"/>
          <w:lang w:val="en-US" w:eastAsia="zh-CN"/>
        </w:rPr>
        <w:t>地下水监测内容见表7-4。</w:t>
      </w:r>
    </w:p>
    <w:p>
      <w:pPr>
        <w:pStyle w:val="21"/>
      </w:pPr>
      <w:r>
        <w:t>表</w:t>
      </w:r>
      <w:r>
        <w:rPr>
          <w:rFonts w:hint="eastAsia"/>
        </w:rPr>
        <w:t>7-</w:t>
      </w:r>
      <w:r>
        <w:rPr>
          <w:rFonts w:hint="eastAsia"/>
          <w:lang w:val="en-US" w:eastAsia="zh-CN"/>
        </w:rPr>
        <w:t>4  地下室</w:t>
      </w:r>
      <w:r>
        <w:t>监测内容</w:t>
      </w:r>
    </w:p>
    <w:tbl>
      <w:tblPr>
        <w:tblStyle w:val="23"/>
        <w:tblW w:w="887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110"/>
        <w:gridCol w:w="2659"/>
        <w:gridCol w:w="41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49" w:hRule="atLeast"/>
          <w:jc w:val="center"/>
        </w:trPr>
        <w:tc>
          <w:tcPr>
            <w:tcW w:w="2110" w:type="dxa"/>
            <w:vAlign w:val="center"/>
          </w:tcPr>
          <w:p>
            <w:pPr>
              <w:pStyle w:val="31"/>
            </w:pPr>
            <w:r>
              <w:rPr>
                <w:rFonts w:hint="eastAsia"/>
              </w:rPr>
              <w:t>监测项目</w:t>
            </w:r>
          </w:p>
        </w:tc>
        <w:tc>
          <w:tcPr>
            <w:tcW w:w="2659" w:type="dxa"/>
            <w:vAlign w:val="center"/>
          </w:tcPr>
          <w:p>
            <w:pPr>
              <w:pStyle w:val="31"/>
            </w:pPr>
            <w:r>
              <w:rPr>
                <w:rFonts w:hint="eastAsia"/>
              </w:rPr>
              <w:t>监测采样点位</w:t>
            </w:r>
          </w:p>
        </w:tc>
        <w:tc>
          <w:tcPr>
            <w:tcW w:w="4110" w:type="dxa"/>
            <w:vAlign w:val="center"/>
          </w:tcPr>
          <w:p>
            <w:pPr>
              <w:pStyle w:val="31"/>
            </w:pPr>
            <w:r>
              <w:rPr>
                <w:rFonts w:hint="eastAsia"/>
              </w:rPr>
              <w:t>监测频率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8" w:hRule="atLeast"/>
          <w:jc w:val="center"/>
        </w:trPr>
        <w:tc>
          <w:tcPr>
            <w:tcW w:w="2110" w:type="dxa"/>
            <w:vAlign w:val="center"/>
          </w:tcPr>
          <w:p>
            <w:pPr>
              <w:pStyle w:val="31"/>
              <w:rPr>
                <w:rFonts w:hint="eastAsia" w:eastAsia="宋体"/>
                <w:lang w:eastAsia="zh-CN"/>
              </w:rPr>
            </w:pPr>
            <w:r>
              <w:rPr>
                <w:rFonts w:hint="eastAsia"/>
                <w:lang w:val="en-US" w:eastAsia="zh-CN"/>
              </w:rPr>
              <w:t>地下水</w:t>
            </w:r>
          </w:p>
        </w:tc>
        <w:tc>
          <w:tcPr>
            <w:tcW w:w="2659" w:type="dxa"/>
            <w:vAlign w:val="center"/>
          </w:tcPr>
          <w:p>
            <w:pPr>
              <w:pStyle w:val="31"/>
              <w:rPr>
                <w:rFonts w:hint="default" w:eastAsia="宋体"/>
                <w:lang w:val="en-US" w:eastAsia="zh-CN"/>
              </w:rPr>
            </w:pPr>
            <w:r>
              <w:rPr>
                <w:rFonts w:hint="eastAsia"/>
                <w:lang w:val="en-US" w:eastAsia="zh-CN"/>
              </w:rPr>
              <w:t>厂界下游</w:t>
            </w:r>
          </w:p>
        </w:tc>
        <w:tc>
          <w:tcPr>
            <w:tcW w:w="4110" w:type="dxa"/>
            <w:vAlign w:val="center"/>
          </w:tcPr>
          <w:p>
            <w:pPr>
              <w:pStyle w:val="31"/>
              <w:rPr>
                <w:rFonts w:hint="default" w:eastAsia="宋体"/>
                <w:lang w:val="en-US" w:eastAsia="zh-CN"/>
              </w:rPr>
            </w:pPr>
            <w:r>
              <w:rPr>
                <w:rFonts w:hint="eastAsia"/>
                <w:lang w:val="en-US" w:eastAsia="zh-CN"/>
              </w:rPr>
              <w:t>至少3个混合样</w:t>
            </w:r>
          </w:p>
        </w:tc>
      </w:tr>
    </w:tbl>
    <w:p>
      <w:pPr>
        <w:ind w:left="0" w:leftChars="0" w:firstLine="0" w:firstLineChars="0"/>
        <w:rPr>
          <w:rFonts w:hint="default"/>
          <w:lang w:val="en-US" w:eastAsia="zh-CN"/>
        </w:rPr>
      </w:pPr>
    </w:p>
    <w:p>
      <w:pPr>
        <w:pStyle w:val="2"/>
        <w:sectPr>
          <w:pgSz w:w="11906" w:h="16838"/>
          <w:pgMar w:top="1418" w:right="1588" w:bottom="1418" w:left="1418" w:header="851" w:footer="992" w:gutter="0"/>
          <w:pgNumType w:fmt="decimal"/>
          <w:cols w:space="425" w:num="1"/>
          <w:docGrid w:type="lines" w:linePitch="326" w:charSpace="0"/>
        </w:sectPr>
      </w:pPr>
    </w:p>
    <w:p>
      <w:pPr>
        <w:pStyle w:val="2"/>
      </w:pPr>
      <w:bookmarkStart w:id="148" w:name="_Toc18304"/>
      <w:r>
        <w:t>8.质量保证和质量控制</w:t>
      </w:r>
      <w:bookmarkEnd w:id="146"/>
      <w:bookmarkEnd w:id="147"/>
      <w:bookmarkEnd w:id="148"/>
    </w:p>
    <w:p>
      <w:pPr>
        <w:ind w:firstLine="480"/>
      </w:pPr>
      <w:r>
        <w:rPr>
          <w:rFonts w:hint="eastAsia"/>
          <w:lang w:eastAsia="zh-CN"/>
        </w:rPr>
        <w:t>新疆中测测试有限责任公司</w:t>
      </w:r>
      <w:r>
        <w:t>通过了</w:t>
      </w:r>
      <w:r>
        <w:rPr>
          <w:rFonts w:hint="eastAsia"/>
        </w:rPr>
        <w:t>新疆维吾尔自治区</w:t>
      </w:r>
      <w:r>
        <w:t>质量技术监督局计量认证</w:t>
      </w:r>
      <w:r>
        <w:rPr>
          <w:rFonts w:hint="eastAsia"/>
          <w:lang w:eastAsia="zh-CN"/>
        </w:rPr>
        <w:t>（</w:t>
      </w:r>
      <w:r>
        <w:t>证书编号：163108110002），具备国家有关法律、行政法规规定的基本条件和能力，在监测过程中，对样品采集、运输、保存和检测的全过程严格按照生态环境部相关技术规范和标准分析方法的要求进行，对布点、采样、分析、数据处理的全过程实施质量控制，严格操作技术规范，保证监测数据的准确可靠。</w:t>
      </w:r>
    </w:p>
    <w:p>
      <w:pPr>
        <w:ind w:firstLine="480"/>
      </w:pPr>
      <w:r>
        <w:rPr>
          <w:rFonts w:hint="eastAsia"/>
          <w:lang w:eastAsia="zh-CN"/>
        </w:rPr>
        <w:t>（</w:t>
      </w:r>
      <w:r>
        <w:t>1）按监测规定对废气测定仪器进行校准，采样前用标准气体流量计进行流量校准。</w:t>
      </w:r>
    </w:p>
    <w:p>
      <w:pPr>
        <w:ind w:firstLine="480"/>
      </w:pPr>
      <w:r>
        <w:rPr>
          <w:rFonts w:hint="eastAsia"/>
          <w:lang w:eastAsia="zh-CN"/>
        </w:rPr>
        <w:t>（</w:t>
      </w:r>
      <w:r>
        <w:t>2）严格按照《空气和废气监测分析方法》</w:t>
      </w:r>
      <w:r>
        <w:rPr>
          <w:rFonts w:hint="eastAsia"/>
          <w:lang w:eastAsia="zh-CN"/>
        </w:rPr>
        <w:t>（</w:t>
      </w:r>
      <w:r>
        <w:t>第四版</w:t>
      </w:r>
      <w:r>
        <w:rPr>
          <w:rFonts w:hint="eastAsia"/>
        </w:rPr>
        <w:t>－</w:t>
      </w:r>
      <w:r>
        <w:t>增补版）和国家标准分析方法进行采样及测试。</w:t>
      </w:r>
    </w:p>
    <w:p>
      <w:pPr>
        <w:ind w:firstLine="480"/>
      </w:pPr>
      <w:r>
        <w:rPr>
          <w:rFonts w:hint="eastAsia"/>
          <w:lang w:eastAsia="zh-CN"/>
        </w:rPr>
        <w:t>（</w:t>
      </w:r>
      <w:r>
        <w:t>3）所用分析仪器经过了周期性计量检定。</w:t>
      </w:r>
    </w:p>
    <w:p>
      <w:pPr>
        <w:ind w:firstLine="480"/>
      </w:pPr>
      <w:r>
        <w:rPr>
          <w:rFonts w:hint="eastAsia"/>
          <w:lang w:eastAsia="zh-CN"/>
        </w:rPr>
        <w:t>（</w:t>
      </w:r>
      <w:r>
        <w:rPr>
          <w:rFonts w:hint="eastAsia"/>
        </w:rPr>
        <w:t>4</w:t>
      </w:r>
      <w:r>
        <w:t>）噪声测量前后测量仪器均经校准，灵敏度相差不大0.5dB</w:t>
      </w:r>
      <w:r>
        <w:rPr>
          <w:rFonts w:hint="eastAsia"/>
          <w:lang w:eastAsia="zh-CN"/>
        </w:rPr>
        <w:t>（</w:t>
      </w:r>
      <w:r>
        <w:t>A</w:t>
      </w:r>
      <w:r>
        <w:rPr>
          <w:rFonts w:hint="eastAsia"/>
        </w:rPr>
        <w:t>）</w:t>
      </w:r>
      <w:r>
        <w:t>。监测时测量仪器配置防风罩，风速＞5m/s停止测试</w:t>
      </w:r>
      <w:r>
        <w:rPr>
          <w:rFonts w:hint="eastAsia"/>
        </w:rPr>
        <w:t>，噪声校准结果详见表</w:t>
      </w:r>
      <w:r>
        <w:t>8-</w:t>
      </w:r>
      <w:r>
        <w:rPr>
          <w:rFonts w:hint="eastAsia"/>
        </w:rPr>
        <w:t>1。</w:t>
      </w:r>
    </w:p>
    <w:p>
      <w:pPr>
        <w:pStyle w:val="21"/>
      </w:pPr>
    </w:p>
    <w:p>
      <w:pPr>
        <w:pStyle w:val="21"/>
      </w:pPr>
    </w:p>
    <w:p>
      <w:pPr>
        <w:pStyle w:val="21"/>
      </w:pPr>
      <w:r>
        <w:t>表</w:t>
      </w:r>
      <w:r>
        <w:rPr>
          <w:rFonts w:hint="eastAsia"/>
        </w:rPr>
        <w:t>8-1</w:t>
      </w:r>
      <w:r>
        <w:t>声级计</w:t>
      </w:r>
      <w:r>
        <w:rPr>
          <w:rFonts w:hint="eastAsia"/>
          <w:lang w:eastAsia="zh-CN"/>
        </w:rPr>
        <w:t>校准</w:t>
      </w:r>
      <w:r>
        <w:t>记录表</w:t>
      </w:r>
    </w:p>
    <w:tbl>
      <w:tblPr>
        <w:tblStyle w:val="23"/>
        <w:tblW w:w="890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56"/>
        <w:gridCol w:w="2029"/>
        <w:gridCol w:w="1848"/>
        <w:gridCol w:w="888"/>
        <w:gridCol w:w="1073"/>
        <w:gridCol w:w="1116"/>
        <w:gridCol w:w="9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7" w:hRule="exact"/>
        </w:trPr>
        <w:tc>
          <w:tcPr>
            <w:tcW w:w="95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02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仪器设备名称</w:t>
            </w:r>
          </w:p>
        </w:tc>
        <w:tc>
          <w:tcPr>
            <w:tcW w:w="184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校准设备名称</w:t>
            </w:r>
          </w:p>
        </w:tc>
        <w:tc>
          <w:tcPr>
            <w:tcW w:w="88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校准值</w:t>
            </w:r>
          </w:p>
        </w:tc>
        <w:tc>
          <w:tcPr>
            <w:tcW w:w="107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校准器标准值</w:t>
            </w:r>
          </w:p>
        </w:tc>
        <w:tc>
          <w:tcPr>
            <w:tcW w:w="11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允许误差范围</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结果评价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042" w:hRule="exact"/>
        </w:trPr>
        <w:tc>
          <w:tcPr>
            <w:tcW w:w="95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202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AWA5688多功能声级计XJZC125）</w:t>
            </w:r>
          </w:p>
        </w:tc>
        <w:tc>
          <w:tcPr>
            <w:tcW w:w="184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AWA5688多功能声级计XJZC125</w:t>
            </w:r>
          </w:p>
        </w:tc>
        <w:tc>
          <w:tcPr>
            <w:tcW w:w="88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93.8dB</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A）</w:t>
            </w:r>
          </w:p>
        </w:tc>
        <w:tc>
          <w:tcPr>
            <w:tcW w:w="107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94.0dB</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A）</w:t>
            </w:r>
          </w:p>
        </w:tc>
        <w:tc>
          <w:tcPr>
            <w:tcW w:w="11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±0.5dB</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A）</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003" w:hRule="exact"/>
        </w:trPr>
        <w:tc>
          <w:tcPr>
            <w:tcW w:w="95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202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AWA5688多功能声级计XJZC125</w:t>
            </w:r>
          </w:p>
        </w:tc>
        <w:tc>
          <w:tcPr>
            <w:tcW w:w="184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AWA5688多功能声级计XJZC125</w:t>
            </w:r>
          </w:p>
        </w:tc>
        <w:tc>
          <w:tcPr>
            <w:tcW w:w="88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93.7dB</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A）</w:t>
            </w:r>
          </w:p>
        </w:tc>
        <w:tc>
          <w:tcPr>
            <w:tcW w:w="107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94.0dB</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A）</w:t>
            </w:r>
          </w:p>
        </w:tc>
        <w:tc>
          <w:tcPr>
            <w:tcW w:w="11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±0.5dB</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A）</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left="24" w:leftChars="10" w:right="24" w:rightChars="1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bl>
    <w:p>
      <w:pPr>
        <w:pStyle w:val="3"/>
        <w:bidi w:val="0"/>
      </w:pPr>
      <w:bookmarkStart w:id="149" w:name="_Toc18915039"/>
      <w:bookmarkStart w:id="150" w:name="_Toc999"/>
      <w:bookmarkStart w:id="151" w:name="_Toc19047"/>
      <w:r>
        <w:t>8.1</w:t>
      </w:r>
      <w:r>
        <w:rPr>
          <w:rFonts w:hint="eastAsia"/>
        </w:rPr>
        <w:t>检</w:t>
      </w:r>
      <w:r>
        <w:t>测分析方法</w:t>
      </w:r>
      <w:bookmarkEnd w:id="149"/>
      <w:bookmarkEnd w:id="150"/>
      <w:bookmarkEnd w:id="151"/>
    </w:p>
    <w:p>
      <w:pPr>
        <w:ind w:firstLine="480"/>
      </w:pPr>
      <w:r>
        <w:rPr>
          <w:rFonts w:hint="eastAsia"/>
        </w:rPr>
        <w:t>检</w:t>
      </w:r>
      <w:r>
        <w:t>测分析方法见表8-</w:t>
      </w:r>
      <w:r>
        <w:rPr>
          <w:rFonts w:hint="eastAsia"/>
        </w:rPr>
        <w:t>2。</w:t>
      </w:r>
    </w:p>
    <w:p>
      <w:pPr>
        <w:pStyle w:val="21"/>
      </w:pPr>
      <w:r>
        <w:t>表</w:t>
      </w:r>
      <w:r>
        <w:rPr>
          <w:rFonts w:hint="eastAsia"/>
        </w:rPr>
        <w:t>8-2检</w:t>
      </w:r>
      <w:r>
        <w:t>测分析方法一览表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412"/>
        <w:gridCol w:w="4088"/>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2" w:type="dxa"/>
            <w:vAlign w:val="center"/>
          </w:tcPr>
          <w:p>
            <w:pPr>
              <w:spacing w:line="240" w:lineRule="auto"/>
              <w:ind w:firstLine="0" w:firstLineChars="0"/>
              <w:jc w:val="center"/>
              <w:rPr>
                <w:rFonts w:ascii="宋体" w:hAnsi="宋体" w:cs="宋体"/>
                <w:bCs/>
                <w:kern w:val="0"/>
                <w:sz w:val="21"/>
                <w:szCs w:val="21"/>
              </w:rPr>
            </w:pPr>
            <w:r>
              <w:rPr>
                <w:rFonts w:cs="Times New Roman"/>
              </w:rPr>
              <w:t>类别</w:t>
            </w:r>
          </w:p>
        </w:tc>
        <w:tc>
          <w:tcPr>
            <w:tcW w:w="1432" w:type="dxa"/>
            <w:vAlign w:val="center"/>
          </w:tcPr>
          <w:p>
            <w:pPr>
              <w:spacing w:line="240" w:lineRule="auto"/>
              <w:ind w:firstLine="0" w:firstLineChars="0"/>
              <w:jc w:val="center"/>
              <w:rPr>
                <w:rFonts w:ascii="宋体" w:hAnsi="宋体" w:cs="宋体"/>
                <w:bCs/>
                <w:kern w:val="0"/>
                <w:sz w:val="21"/>
                <w:szCs w:val="21"/>
              </w:rPr>
            </w:pPr>
            <w:r>
              <w:rPr>
                <w:rFonts w:hint="eastAsia" w:ascii="宋体" w:hAnsi="宋体" w:cs="宋体"/>
                <w:bCs/>
                <w:kern w:val="0"/>
                <w:sz w:val="21"/>
                <w:szCs w:val="21"/>
              </w:rPr>
              <w:t>检测项目</w:t>
            </w:r>
          </w:p>
        </w:tc>
        <w:tc>
          <w:tcPr>
            <w:tcW w:w="4146" w:type="dxa"/>
            <w:vAlign w:val="center"/>
          </w:tcPr>
          <w:p>
            <w:pPr>
              <w:spacing w:line="240" w:lineRule="auto"/>
              <w:ind w:firstLine="0" w:firstLineChars="0"/>
              <w:jc w:val="center"/>
              <w:rPr>
                <w:rFonts w:ascii="宋体" w:hAnsi="宋体" w:cs="宋体"/>
                <w:bCs/>
                <w:kern w:val="0"/>
                <w:sz w:val="21"/>
                <w:szCs w:val="21"/>
              </w:rPr>
            </w:pPr>
            <w:r>
              <w:rPr>
                <w:rFonts w:hint="eastAsia" w:ascii="宋体" w:hAnsi="宋体" w:cs="宋体"/>
                <w:bCs/>
                <w:kern w:val="0"/>
                <w:sz w:val="21"/>
                <w:szCs w:val="21"/>
              </w:rPr>
              <w:t>检测依据</w:t>
            </w:r>
          </w:p>
        </w:tc>
        <w:tc>
          <w:tcPr>
            <w:tcW w:w="2230" w:type="dxa"/>
            <w:vAlign w:val="center"/>
          </w:tcPr>
          <w:p>
            <w:pPr>
              <w:spacing w:line="240" w:lineRule="auto"/>
              <w:ind w:firstLine="0" w:firstLineChars="0"/>
              <w:jc w:val="center"/>
              <w:rPr>
                <w:rFonts w:ascii="宋体" w:hAnsi="宋体" w:cs="宋体"/>
                <w:bCs/>
                <w:kern w:val="0"/>
                <w:sz w:val="21"/>
                <w:szCs w:val="21"/>
              </w:rPr>
            </w:pPr>
            <w:r>
              <w:rPr>
                <w:rFonts w:hint="eastAsia" w:ascii="宋体" w:hAnsi="宋体" w:cs="宋体"/>
                <w:bCs/>
                <w:kern w:val="0"/>
                <w:sz w:val="21"/>
                <w:szCs w:val="21"/>
              </w:rPr>
              <w:t>主检仪器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2" w:type="dxa"/>
            <w:vAlign w:val="center"/>
          </w:tcPr>
          <w:p>
            <w:pPr>
              <w:pStyle w:val="31"/>
              <w:rPr>
                <w:rFonts w:cs="Times New Roman"/>
                <w:sz w:val="21"/>
                <w:szCs w:val="21"/>
              </w:rPr>
            </w:pPr>
            <w:r>
              <w:rPr>
                <w:rFonts w:cs="Times New Roman"/>
                <w:sz w:val="21"/>
                <w:szCs w:val="21"/>
              </w:rPr>
              <w:t>有组织</w:t>
            </w:r>
          </w:p>
          <w:p>
            <w:pPr>
              <w:spacing w:line="240" w:lineRule="auto"/>
              <w:ind w:firstLine="0" w:firstLineChars="0"/>
              <w:jc w:val="center"/>
              <w:rPr>
                <w:rFonts w:ascii="宋体" w:hAnsi="宋体" w:cs="宋体"/>
                <w:kern w:val="1"/>
                <w:sz w:val="21"/>
                <w:szCs w:val="21"/>
              </w:rPr>
            </w:pPr>
            <w:r>
              <w:rPr>
                <w:rFonts w:cs="Times New Roman"/>
                <w:sz w:val="21"/>
                <w:szCs w:val="21"/>
              </w:rPr>
              <w:t>废气</w:t>
            </w:r>
          </w:p>
        </w:tc>
        <w:tc>
          <w:tcPr>
            <w:tcW w:w="1432" w:type="dxa"/>
            <w:vAlign w:val="center"/>
          </w:tcPr>
          <w:p>
            <w:pPr>
              <w:spacing w:line="240" w:lineRule="auto"/>
              <w:ind w:firstLine="0" w:firstLineChars="0"/>
              <w:jc w:val="center"/>
              <w:rPr>
                <w:rFonts w:hint="eastAsia" w:ascii="宋体" w:hAnsi="宋体" w:eastAsia="宋体" w:cs="宋体"/>
                <w:kern w:val="1"/>
                <w:sz w:val="21"/>
                <w:szCs w:val="21"/>
                <w:lang w:eastAsia="zh-CN"/>
              </w:rPr>
            </w:pPr>
            <w:r>
              <w:rPr>
                <w:rFonts w:hint="eastAsia" w:ascii="宋体" w:hAnsi="宋体" w:cs="宋体"/>
                <w:kern w:val="1"/>
                <w:sz w:val="21"/>
                <w:szCs w:val="21"/>
                <w:lang w:val="en-US" w:eastAsia="zh-CN"/>
              </w:rPr>
              <w:t>颗粒物</w:t>
            </w:r>
          </w:p>
        </w:tc>
        <w:tc>
          <w:tcPr>
            <w:tcW w:w="4146" w:type="dxa"/>
            <w:vAlign w:val="center"/>
          </w:tcPr>
          <w:p>
            <w:pPr>
              <w:spacing w:line="240" w:lineRule="auto"/>
              <w:ind w:firstLine="0" w:firstLineChars="0"/>
              <w:jc w:val="center"/>
              <w:rPr>
                <w:rFonts w:ascii="宋体" w:hAnsi="宋体" w:cs="宋体"/>
                <w:sz w:val="21"/>
                <w:szCs w:val="21"/>
              </w:rPr>
            </w:pPr>
            <w:r>
              <w:rPr>
                <w:rFonts w:hint="eastAsia" w:ascii="宋体" w:hAnsi="宋体" w:eastAsia="宋体" w:cs="宋体"/>
                <w:sz w:val="21"/>
                <w:szCs w:val="21"/>
                <w:lang w:val="en-US" w:eastAsia="zh-CN"/>
              </w:rPr>
              <w:t>HJ836-2017固定污染源废气低浓度颗粒物的测定重量法</w:t>
            </w:r>
          </w:p>
        </w:tc>
        <w:tc>
          <w:tcPr>
            <w:tcW w:w="2230" w:type="dxa"/>
            <w:vAlign w:val="center"/>
          </w:tcPr>
          <w:p>
            <w:pPr>
              <w:spacing w:line="240" w:lineRule="auto"/>
              <w:ind w:firstLine="0" w:firstLineChars="0"/>
              <w:jc w:val="center"/>
              <w:rPr>
                <w:rFonts w:ascii="宋体" w:hAnsi="宋体" w:cs="宋体"/>
                <w:bCs/>
                <w:sz w:val="21"/>
                <w:szCs w:val="21"/>
              </w:rPr>
            </w:pPr>
            <w:r>
              <w:rPr>
                <w:rFonts w:hint="eastAsia" w:ascii="宋体" w:hAnsi="宋体" w:cs="宋体"/>
                <w:bCs/>
                <w:sz w:val="21"/>
                <w:szCs w:val="21"/>
                <w:lang w:val="en-US" w:eastAsia="zh-CN"/>
              </w:rPr>
              <w:t>LB-70C</w:t>
            </w:r>
            <w:r>
              <w:rPr>
                <w:rFonts w:hint="eastAsia" w:ascii="宋体" w:hAnsi="宋体" w:cs="宋体"/>
                <w:bCs/>
                <w:sz w:val="21"/>
                <w:szCs w:val="21"/>
              </w:rPr>
              <w:t>烟尘烟气测试仪</w:t>
            </w:r>
            <w:r>
              <w:rPr>
                <w:rFonts w:hint="eastAsia" w:ascii="宋体" w:hAnsi="宋体" w:cs="宋体"/>
                <w:bCs/>
                <w:sz w:val="21"/>
                <w:szCs w:val="21"/>
                <w:lang w:val="en-US" w:eastAsia="zh-CN"/>
              </w:rPr>
              <w:t>XJZC158</w:t>
            </w:r>
          </w:p>
        </w:tc>
      </w:tr>
    </w:tbl>
    <w:p>
      <w:pPr>
        <w:pStyle w:val="3"/>
      </w:pPr>
      <w:bookmarkStart w:id="152" w:name="_Toc9206"/>
      <w:bookmarkStart w:id="153" w:name="_Toc18915040"/>
      <w:bookmarkStart w:id="154" w:name="_Toc29888"/>
      <w:r>
        <w:t>8.2</w:t>
      </w:r>
      <w:r>
        <w:rPr>
          <w:rFonts w:hint="eastAsia"/>
        </w:rPr>
        <w:t>检</w:t>
      </w:r>
      <w:r>
        <w:t>测仪器</w:t>
      </w:r>
      <w:bookmarkEnd w:id="152"/>
      <w:bookmarkEnd w:id="153"/>
      <w:bookmarkEnd w:id="154"/>
    </w:p>
    <w:p>
      <w:pPr>
        <w:ind w:firstLine="480"/>
      </w:pPr>
      <w:r>
        <w:rPr>
          <w:rFonts w:hint="eastAsia"/>
        </w:rPr>
        <w:t>检</w:t>
      </w:r>
      <w:r>
        <w:t>测仪器计量情况见下表8-</w:t>
      </w:r>
      <w:r>
        <w:rPr>
          <w:rFonts w:hint="eastAsia"/>
        </w:rPr>
        <w:t>3</w:t>
      </w:r>
      <w:r>
        <w:t>。</w:t>
      </w:r>
    </w:p>
    <w:p>
      <w:pPr>
        <w:pStyle w:val="21"/>
      </w:pPr>
      <w:r>
        <w:t>表</w:t>
      </w:r>
      <w:r>
        <w:rPr>
          <w:rFonts w:hint="eastAsia"/>
        </w:rPr>
        <w:t>8-3检</w:t>
      </w:r>
      <w:r>
        <w:t>测</w:t>
      </w:r>
      <w:r>
        <w:rPr>
          <w:rFonts w:hint="eastAsia"/>
        </w:rPr>
        <w:t>仪器</w:t>
      </w:r>
      <w:r>
        <w:t>计量情况</w:t>
      </w:r>
    </w:p>
    <w:tbl>
      <w:tblPr>
        <w:tblStyle w:val="23"/>
        <w:tblW w:w="901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29"/>
        <w:gridCol w:w="1303"/>
        <w:gridCol w:w="4515"/>
        <w:gridCol w:w="17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4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类别</w:t>
            </w:r>
          </w:p>
        </w:tc>
        <w:tc>
          <w:tcPr>
            <w:tcW w:w="130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检测项目</w:t>
            </w:r>
          </w:p>
        </w:tc>
        <w:tc>
          <w:tcPr>
            <w:tcW w:w="45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所用仪器型号</w:t>
            </w:r>
          </w:p>
        </w:tc>
        <w:tc>
          <w:tcPr>
            <w:tcW w:w="17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仪器检校情况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4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有组织废气</w:t>
            </w:r>
          </w:p>
        </w:tc>
        <w:tc>
          <w:tcPr>
            <w:tcW w:w="130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颗粒物</w:t>
            </w:r>
          </w:p>
        </w:tc>
        <w:tc>
          <w:tcPr>
            <w:tcW w:w="45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OIL460红外分光光度计XJZC72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崂应3012H自动烟</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尘）气测试仪XJZC62</w:t>
            </w:r>
          </w:p>
        </w:tc>
        <w:tc>
          <w:tcPr>
            <w:tcW w:w="17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已检校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无组织废气</w:t>
            </w:r>
          </w:p>
        </w:tc>
        <w:tc>
          <w:tcPr>
            <w:tcW w:w="130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颗粒物</w:t>
            </w:r>
          </w:p>
        </w:tc>
        <w:tc>
          <w:tcPr>
            <w:tcW w:w="45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XJZC5HPD-150A恒温恒湿培养箱XJZC104ME55/02电子天平XJZC166</w:t>
            </w:r>
          </w:p>
        </w:tc>
        <w:tc>
          <w:tcPr>
            <w:tcW w:w="17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已检校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4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噪声</w:t>
            </w:r>
          </w:p>
        </w:tc>
        <w:tc>
          <w:tcPr>
            <w:tcW w:w="130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厂界噪声</w:t>
            </w:r>
          </w:p>
        </w:tc>
        <w:tc>
          <w:tcPr>
            <w:tcW w:w="45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AWA5688多功能声级计XJZC124</w:t>
            </w:r>
          </w:p>
        </w:tc>
        <w:tc>
          <w:tcPr>
            <w:tcW w:w="17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已检校</w:t>
            </w:r>
          </w:p>
        </w:tc>
      </w:tr>
    </w:tbl>
    <w:p>
      <w:pPr>
        <w:pStyle w:val="3"/>
      </w:pPr>
      <w:bookmarkStart w:id="155" w:name="_Toc29460"/>
      <w:bookmarkStart w:id="156" w:name="_Toc18915041"/>
      <w:bookmarkStart w:id="157" w:name="_Toc26679"/>
      <w:r>
        <w:t>8.3人员能力</w:t>
      </w:r>
      <w:bookmarkEnd w:id="155"/>
      <w:bookmarkEnd w:id="156"/>
      <w:bookmarkEnd w:id="157"/>
    </w:p>
    <w:p>
      <w:pPr>
        <w:ind w:firstLine="480"/>
        <w:sectPr>
          <w:pgSz w:w="11906" w:h="16838"/>
          <w:pgMar w:top="1418" w:right="1588" w:bottom="1418" w:left="1418" w:header="851" w:footer="992" w:gutter="0"/>
          <w:pgNumType w:fmt="decimal"/>
          <w:cols w:space="425" w:num="1"/>
          <w:docGrid w:type="lines" w:linePitch="326" w:charSpace="0"/>
        </w:sectPr>
      </w:pPr>
      <w:r>
        <w:rPr>
          <w:rFonts w:hint="eastAsia"/>
          <w:lang w:eastAsia="zh-CN"/>
        </w:rPr>
        <w:t>新疆中测测试有限责任公司</w:t>
      </w:r>
      <w:r>
        <w:t>通过了</w:t>
      </w:r>
      <w:r>
        <w:rPr>
          <w:rFonts w:hint="eastAsia"/>
        </w:rPr>
        <w:t>新疆维吾尔自治区</w:t>
      </w:r>
      <w:r>
        <w:t>质量技术监督局计量认证</w:t>
      </w:r>
      <w:r>
        <w:rPr>
          <w:rFonts w:hint="eastAsia"/>
          <w:lang w:eastAsia="zh-CN"/>
        </w:rPr>
        <w:t>（</w:t>
      </w:r>
      <w:r>
        <w:t>证书编号：163108110002），具备相关监测项目的资质能力，采样与分析人员均经过培训并持证上岗</w:t>
      </w:r>
      <w:r>
        <w:rPr>
          <w:rFonts w:hint="eastAsia"/>
        </w:rPr>
        <w:t>。</w:t>
      </w:r>
    </w:p>
    <w:p>
      <w:pPr>
        <w:pStyle w:val="2"/>
      </w:pPr>
      <w:bookmarkStart w:id="158" w:name="_Toc26190"/>
      <w:bookmarkStart w:id="159" w:name="_Toc18915042"/>
      <w:bookmarkStart w:id="160" w:name="_Toc21308"/>
      <w:r>
        <w:t>9.验收监测结果</w:t>
      </w:r>
      <w:bookmarkEnd w:id="158"/>
      <w:bookmarkEnd w:id="159"/>
      <w:bookmarkEnd w:id="160"/>
    </w:p>
    <w:p>
      <w:pPr>
        <w:pStyle w:val="3"/>
      </w:pPr>
      <w:bookmarkStart w:id="161" w:name="_Toc24463"/>
      <w:bookmarkStart w:id="162" w:name="_Toc18915043"/>
      <w:bookmarkStart w:id="163" w:name="_Toc11042"/>
      <w:r>
        <w:t>9.1生产工况</w:t>
      </w:r>
      <w:bookmarkEnd w:id="161"/>
      <w:bookmarkEnd w:id="162"/>
      <w:bookmarkEnd w:id="163"/>
    </w:p>
    <w:p>
      <w:pPr>
        <w:spacing w:before="163" w:beforeLines="50"/>
        <w:ind w:firstLine="480"/>
        <w:rPr>
          <w:rFonts w:cs="Times New Roman"/>
        </w:rPr>
      </w:pPr>
      <w:r>
        <w:rPr>
          <w:rFonts w:cs="Times New Roman"/>
        </w:rPr>
        <w:t>按照《建设项目竣工环境保护验收</w:t>
      </w:r>
      <w:r>
        <w:rPr>
          <w:rFonts w:hint="eastAsia" w:cs="Times New Roman"/>
        </w:rPr>
        <w:t>技术指南污染影响类</w:t>
      </w:r>
      <w:r>
        <w:rPr>
          <w:rFonts w:cs="Times New Roman"/>
        </w:rPr>
        <w:t>》的规定，</w:t>
      </w:r>
      <w:r>
        <w:rPr>
          <w:rFonts w:hint="eastAsia" w:cs="Times New Roman"/>
        </w:rPr>
        <w:t>本次验收监测期间，</w:t>
      </w:r>
      <w:r>
        <w:rPr>
          <w:rFonts w:hint="eastAsia" w:cs="Times New Roman"/>
          <w:lang w:eastAsia="zh-CN"/>
        </w:rPr>
        <w:t>新疆中泰兴苇生物科技有限公司</w:t>
      </w:r>
      <w:r>
        <w:rPr>
          <w:rFonts w:hint="eastAsia" w:cs="Times New Roman"/>
          <w:lang w:val="en-US" w:eastAsia="zh-CN"/>
        </w:rPr>
        <w:t>各生产设施</w:t>
      </w:r>
      <w:r>
        <w:rPr>
          <w:rFonts w:hint="eastAsia" w:cs="Times New Roman"/>
          <w:sz w:val="24"/>
          <w:szCs w:val="24"/>
          <w:lang w:eastAsia="zh-CN"/>
        </w:rPr>
        <w:t>正常运行，</w:t>
      </w:r>
      <w:r>
        <w:rPr>
          <w:rFonts w:hint="eastAsia" w:cs="Times New Roman"/>
        </w:rPr>
        <w:t>环保设施</w:t>
      </w:r>
      <w:r>
        <w:rPr>
          <w:rFonts w:hint="eastAsia" w:cs="Times New Roman"/>
          <w:lang w:eastAsia="zh-CN"/>
        </w:rPr>
        <w:t>稳定</w:t>
      </w:r>
      <w:r>
        <w:rPr>
          <w:rFonts w:hint="eastAsia" w:cs="Times New Roman"/>
        </w:rPr>
        <w:t>运行</w:t>
      </w:r>
      <w:r>
        <w:rPr>
          <w:rFonts w:hint="eastAsia" w:cs="Times New Roman"/>
          <w:lang w:eastAsia="zh-CN"/>
        </w:rPr>
        <w:t>。</w:t>
      </w:r>
      <w:r>
        <w:rPr>
          <w:rFonts w:hint="eastAsia" w:cs="Times New Roman"/>
        </w:rPr>
        <w:t>满足</w:t>
      </w:r>
      <w:r>
        <w:rPr>
          <w:rFonts w:cs="Times New Roman"/>
        </w:rPr>
        <w:t>建设项目竣工环境保护验收监测</w:t>
      </w:r>
      <w:r>
        <w:rPr>
          <w:rFonts w:hint="eastAsia" w:cs="Times New Roman"/>
        </w:rPr>
        <w:t>对工况应达到75%以上的要求。因此，本次监测为有效工况监测结果能作为该项目竣工环境保护验收依据。</w:t>
      </w:r>
    </w:p>
    <w:p>
      <w:pPr>
        <w:ind w:firstLine="480"/>
        <w:rPr>
          <w:rFonts w:cs="Times New Roman"/>
        </w:rPr>
      </w:pPr>
      <w:r>
        <w:rPr>
          <w:rFonts w:cs="Times New Roman"/>
        </w:rPr>
        <w:t>按照《监测方案》，</w:t>
      </w:r>
      <w:r>
        <w:rPr>
          <w:rFonts w:hint="eastAsia" w:cs="Times New Roman"/>
          <w:lang w:eastAsia="zh-CN"/>
        </w:rPr>
        <w:t>202</w:t>
      </w:r>
      <w:r>
        <w:rPr>
          <w:rFonts w:hint="eastAsia" w:cs="Times New Roman"/>
          <w:lang w:val="en-US" w:eastAsia="zh-CN"/>
        </w:rPr>
        <w:t>3</w:t>
      </w:r>
      <w:r>
        <w:rPr>
          <w:rFonts w:hint="eastAsia" w:cs="Times New Roman"/>
          <w:lang w:eastAsia="zh-CN"/>
        </w:rPr>
        <w:t>年</w:t>
      </w:r>
      <w:r>
        <w:rPr>
          <w:rFonts w:hint="eastAsia" w:cs="Times New Roman"/>
          <w:lang w:val="en-US" w:eastAsia="zh-CN"/>
        </w:rPr>
        <w:t>3</w:t>
      </w:r>
      <w:r>
        <w:rPr>
          <w:rFonts w:hint="eastAsia" w:cs="Times New Roman"/>
          <w:lang w:eastAsia="zh-CN"/>
        </w:rPr>
        <w:t>月</w:t>
      </w:r>
      <w:r>
        <w:rPr>
          <w:rFonts w:hint="eastAsia" w:cs="Times New Roman"/>
          <w:lang w:val="en-US" w:eastAsia="zh-CN"/>
        </w:rPr>
        <w:t>16</w:t>
      </w:r>
      <w:r>
        <w:rPr>
          <w:rFonts w:hint="eastAsia" w:cs="Times New Roman"/>
          <w:lang w:eastAsia="zh-CN"/>
        </w:rPr>
        <w:t>日</w:t>
      </w:r>
      <w:r>
        <w:rPr>
          <w:rFonts w:cs="Times New Roman"/>
        </w:rPr>
        <w:t>～</w:t>
      </w:r>
      <w:r>
        <w:rPr>
          <w:rFonts w:hint="eastAsia" w:cs="Times New Roman"/>
          <w:lang w:eastAsia="zh-CN"/>
        </w:rPr>
        <w:t>202</w:t>
      </w:r>
      <w:r>
        <w:rPr>
          <w:rFonts w:hint="eastAsia" w:cs="Times New Roman"/>
          <w:lang w:val="en-US" w:eastAsia="zh-CN"/>
        </w:rPr>
        <w:t>3</w:t>
      </w:r>
      <w:r>
        <w:rPr>
          <w:rFonts w:hint="eastAsia" w:cs="Times New Roman"/>
          <w:lang w:eastAsia="zh-CN"/>
        </w:rPr>
        <w:t>年</w:t>
      </w:r>
      <w:r>
        <w:rPr>
          <w:rFonts w:hint="eastAsia" w:cs="Times New Roman"/>
          <w:lang w:val="en-US" w:eastAsia="zh-CN"/>
        </w:rPr>
        <w:t>3</w:t>
      </w:r>
      <w:r>
        <w:rPr>
          <w:rFonts w:hint="eastAsia" w:cs="Times New Roman"/>
          <w:lang w:eastAsia="zh-CN"/>
        </w:rPr>
        <w:t>月</w:t>
      </w:r>
      <w:r>
        <w:rPr>
          <w:rFonts w:hint="eastAsia" w:cs="Times New Roman"/>
          <w:lang w:val="en-US" w:eastAsia="zh-CN"/>
        </w:rPr>
        <w:t>17</w:t>
      </w:r>
      <w:r>
        <w:rPr>
          <w:rFonts w:hint="eastAsia" w:cs="Times New Roman"/>
          <w:lang w:eastAsia="zh-CN"/>
        </w:rPr>
        <w:t>日</w:t>
      </w:r>
      <w:r>
        <w:rPr>
          <w:rFonts w:hint="eastAsia" w:cs="Times New Roman"/>
        </w:rPr>
        <w:t>，</w:t>
      </w:r>
      <w:r>
        <w:rPr>
          <w:rFonts w:hint="eastAsia" w:cs="Times New Roman"/>
          <w:lang w:eastAsia="zh-CN"/>
        </w:rPr>
        <w:t>新疆中测测试有限责任公司</w:t>
      </w:r>
      <w:r>
        <w:rPr>
          <w:rFonts w:cs="Times New Roman"/>
        </w:rPr>
        <w:t>派检测人员专程到</w:t>
      </w:r>
      <w:r>
        <w:rPr>
          <w:rFonts w:hint="eastAsia" w:cs="Times New Roman"/>
          <w:lang w:eastAsia="zh-CN"/>
        </w:rPr>
        <w:t>新疆中泰兴苇生物科技有限公司日产125吨生活用纸产品升级改造项目</w:t>
      </w:r>
      <w:r>
        <w:rPr>
          <w:rFonts w:cs="Times New Roman"/>
        </w:rPr>
        <w:t>所在地开展验收监测，各项目监测布点见</w:t>
      </w:r>
      <w:r>
        <w:rPr>
          <w:rFonts w:hint="eastAsia" w:cs="Times New Roman"/>
        </w:rPr>
        <w:t>图</w:t>
      </w:r>
      <w:r>
        <w:rPr>
          <w:rFonts w:hint="eastAsia" w:cs="Times New Roman"/>
          <w:lang w:val="en-US" w:eastAsia="zh-CN"/>
        </w:rPr>
        <w:t>9</w:t>
      </w:r>
      <w:r>
        <w:rPr>
          <w:rFonts w:cs="Times New Roman"/>
        </w:rPr>
        <w:t>-1。</w:t>
      </w:r>
    </w:p>
    <w:p>
      <w:pPr>
        <w:pStyle w:val="3"/>
      </w:pPr>
      <w:bookmarkStart w:id="164" w:name="_Toc23788"/>
      <w:bookmarkStart w:id="165" w:name="_Toc18915044"/>
      <w:bookmarkStart w:id="166" w:name="_Toc23807"/>
      <w:r>
        <w:t>9.2环保设施调试运行效果</w:t>
      </w:r>
      <w:bookmarkEnd w:id="164"/>
      <w:bookmarkEnd w:id="165"/>
      <w:bookmarkEnd w:id="166"/>
    </w:p>
    <w:p>
      <w:pPr>
        <w:pStyle w:val="4"/>
        <w:ind w:firstLine="482" w:firstLineChars="200"/>
      </w:pPr>
      <w:bookmarkStart w:id="167" w:name="_Toc11553"/>
      <w:bookmarkStart w:id="168" w:name="_Toc17316"/>
      <w:bookmarkStart w:id="169" w:name="_Toc18915045"/>
      <w:bookmarkStart w:id="170" w:name="_Toc12477"/>
      <w:bookmarkStart w:id="171" w:name="_Toc19825"/>
      <w:r>
        <w:t>9.2.1污染物排放监测结果</w:t>
      </w:r>
      <w:bookmarkEnd w:id="167"/>
      <w:bookmarkEnd w:id="168"/>
      <w:bookmarkEnd w:id="169"/>
      <w:bookmarkEnd w:id="170"/>
      <w:bookmarkEnd w:id="171"/>
    </w:p>
    <w:p>
      <w:pPr>
        <w:pStyle w:val="5"/>
        <w:ind w:firstLine="482" w:firstLineChars="200"/>
      </w:pPr>
      <w:r>
        <w:t>9.2.1.1废气</w:t>
      </w:r>
    </w:p>
    <w:p>
      <w:pPr>
        <w:ind w:firstLine="480"/>
      </w:pPr>
      <w:r>
        <w:rPr>
          <w:rFonts w:hint="eastAsia"/>
          <w:lang w:eastAsia="zh-CN"/>
        </w:rPr>
        <w:t>（</w:t>
      </w:r>
      <w:r>
        <w:t>1）有组织排放</w:t>
      </w:r>
    </w:p>
    <w:p>
      <w:pPr>
        <w:ind w:firstLine="480"/>
      </w:pPr>
      <w:r>
        <w:rPr>
          <w:rFonts w:hint="eastAsia"/>
        </w:rPr>
        <w:t>本项目</w:t>
      </w:r>
      <w:r>
        <w:rPr>
          <w:rFonts w:hint="eastAsia"/>
          <w:lang w:val="en-US" w:eastAsia="zh-CN"/>
        </w:rPr>
        <w:t>有组织废气颗粒物监测结果见下表</w:t>
      </w:r>
      <w:r>
        <w:rPr>
          <w:rFonts w:hint="eastAsia"/>
        </w:rPr>
        <w:t>。</w:t>
      </w:r>
    </w:p>
    <w:p>
      <w:pPr>
        <w:pStyle w:val="21"/>
        <w:rPr>
          <w:highlight w:val="red"/>
        </w:rPr>
      </w:pPr>
      <w:r>
        <w:rPr>
          <w:rFonts w:hint="eastAsia"/>
        </w:rPr>
        <w:t>表</w:t>
      </w:r>
      <w:r>
        <w:t>9-</w:t>
      </w:r>
      <w:r>
        <w:rPr>
          <w:rFonts w:hint="eastAsia"/>
          <w:lang w:val="en-US" w:eastAsia="zh-CN"/>
        </w:rPr>
        <w:t>1</w:t>
      </w:r>
      <w:r>
        <w:rPr>
          <w:rFonts w:hint="eastAsia"/>
        </w:rPr>
        <w:t>有组织废气监测结果</w:t>
      </w:r>
    </w:p>
    <w:tbl>
      <w:tblPr>
        <w:tblStyle w:val="23"/>
        <w:tblW w:w="9116"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170"/>
        <w:gridCol w:w="900"/>
        <w:gridCol w:w="1587"/>
        <w:gridCol w:w="1634"/>
        <w:gridCol w:w="1783"/>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2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检测项目</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单位</w:t>
            </w:r>
          </w:p>
        </w:tc>
        <w:tc>
          <w:tcPr>
            <w:tcW w:w="500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eastAsia="zh-CN"/>
              </w:rPr>
              <w:t>样品编号及</w:t>
            </w:r>
            <w:r>
              <w:rPr>
                <w:rFonts w:hint="eastAsia" w:ascii="宋体" w:hAnsi="宋体" w:cs="宋体"/>
                <w:color w:val="000000"/>
                <w:sz w:val="21"/>
                <w:szCs w:val="21"/>
              </w:rPr>
              <w:t>检测</w:t>
            </w:r>
            <w:r>
              <w:rPr>
                <w:rFonts w:hint="eastAsia" w:ascii="宋体" w:hAnsi="宋体" w:cs="宋体"/>
                <w:color w:val="000000"/>
                <w:sz w:val="21"/>
                <w:szCs w:val="21"/>
                <w:lang w:eastAsia="zh-CN"/>
              </w:rPr>
              <w:t>结果</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eastAsia="zh-CN"/>
              </w:rPr>
            </w:pPr>
            <w:r>
              <w:rPr>
                <w:rFonts w:hint="eastAsia" w:ascii="宋体" w:hAnsi="宋体" w:cs="宋体"/>
                <w:color w:val="000000"/>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16"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2023年03月16日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ascii="宋体" w:hAnsi="宋体" w:cs="宋体"/>
                <w:color w:val="000000"/>
                <w:sz w:val="21"/>
                <w:szCs w:val="21"/>
              </w:rPr>
              <w:t>标干流量</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m</w:t>
            </w:r>
            <w:r>
              <w:rPr>
                <w:rFonts w:hint="eastAsia" w:ascii="宋体" w:hAnsi="宋体" w:cs="宋体"/>
                <w:color w:val="000000"/>
                <w:sz w:val="21"/>
                <w:szCs w:val="21"/>
                <w:vertAlign w:val="superscript"/>
              </w:rPr>
              <w:t>3</w:t>
            </w:r>
            <w:r>
              <w:rPr>
                <w:rFonts w:hint="eastAsia" w:ascii="宋体" w:hAnsi="宋体"/>
                <w:color w:val="000000"/>
                <w:sz w:val="21"/>
                <w:szCs w:val="21"/>
              </w:rPr>
              <w:t>/h</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9678</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9880</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10095</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FQ23031257-01</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FQ23031257-02</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FQ23031257-03</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r>
              <w:rPr>
                <w:rFonts w:hint="eastAsia" w:ascii="宋体" w:hAnsi="宋体" w:cs="宋体"/>
                <w:color w:val="000000"/>
                <w:sz w:val="21"/>
                <w:szCs w:val="21"/>
              </w:rPr>
              <w:t>颗粒物</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r>
              <w:rPr>
                <w:rFonts w:hint="eastAsia" w:ascii="宋体" w:hAnsi="宋体" w:cs="宋体"/>
                <w:color w:val="000000"/>
                <w:sz w:val="21"/>
                <w:szCs w:val="21"/>
              </w:rPr>
              <w:t>实测值</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r>
              <w:rPr>
                <w:rFonts w:hint="eastAsia" w:ascii="宋体" w:hAnsi="宋体" w:cs="宋体"/>
                <w:color w:val="000000"/>
                <w:sz w:val="21"/>
                <w:szCs w:val="21"/>
              </w:rPr>
              <w:t>mg/m</w:t>
            </w:r>
            <w:r>
              <w:rPr>
                <w:rFonts w:hint="eastAsia" w:ascii="宋体" w:hAnsi="宋体" w:cs="宋体"/>
                <w:color w:val="000000"/>
                <w:sz w:val="21"/>
                <w:szCs w:val="21"/>
                <w:vertAlign w:val="superscript"/>
              </w:rPr>
              <w:t>3</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5.4</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4.9</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5.5</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排放速率</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kg/h</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5.23</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10</w:t>
            </w:r>
            <w:r>
              <w:rPr>
                <w:rFonts w:hint="eastAsia" w:ascii="宋体" w:hAnsi="宋体" w:cs="宋体"/>
                <w:color w:val="000000"/>
                <w:sz w:val="21"/>
                <w:szCs w:val="21"/>
                <w:vertAlign w:val="superscript"/>
                <w:lang w:val="en-US" w:eastAsia="zh-CN"/>
              </w:rPr>
              <w:t>-2</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4.84</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10</w:t>
            </w:r>
            <w:r>
              <w:rPr>
                <w:rFonts w:hint="eastAsia" w:ascii="宋体" w:hAnsi="宋体" w:cs="宋体"/>
                <w:color w:val="000000"/>
                <w:sz w:val="21"/>
                <w:szCs w:val="21"/>
                <w:vertAlign w:val="superscript"/>
                <w:lang w:val="en-US" w:eastAsia="zh-CN"/>
              </w:rPr>
              <w:t>-2</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5.56</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10</w:t>
            </w:r>
            <w:r>
              <w:rPr>
                <w:rFonts w:hint="eastAsia" w:ascii="宋体" w:hAnsi="宋体" w:cs="宋体"/>
                <w:color w:val="000000"/>
                <w:sz w:val="21"/>
                <w:szCs w:val="21"/>
                <w:vertAlign w:val="superscript"/>
                <w:lang w:val="en-US" w:eastAsia="zh-CN"/>
              </w:rPr>
              <w:t>-2</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16"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2023年03月17日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ascii="宋体" w:hAnsi="宋体" w:cs="宋体"/>
                <w:color w:val="000000"/>
                <w:sz w:val="21"/>
                <w:szCs w:val="21"/>
              </w:rPr>
              <w:t>标干流量</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m</w:t>
            </w:r>
            <w:r>
              <w:rPr>
                <w:rFonts w:hint="eastAsia" w:ascii="宋体" w:hAnsi="宋体" w:cs="宋体"/>
                <w:color w:val="000000"/>
                <w:sz w:val="21"/>
                <w:szCs w:val="21"/>
                <w:vertAlign w:val="superscript"/>
              </w:rPr>
              <w:t>3</w:t>
            </w:r>
            <w:r>
              <w:rPr>
                <w:rFonts w:hint="eastAsia" w:ascii="宋体" w:hAnsi="宋体"/>
                <w:color w:val="000000"/>
                <w:sz w:val="21"/>
                <w:szCs w:val="21"/>
              </w:rPr>
              <w:t>/h</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10474</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9808</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9651</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FQ23031257-04</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FQ23031257-05</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FQ23031257-06</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r>
              <w:rPr>
                <w:rFonts w:hint="eastAsia" w:ascii="宋体" w:hAnsi="宋体" w:cs="宋体"/>
                <w:color w:val="000000"/>
                <w:sz w:val="21"/>
                <w:szCs w:val="21"/>
              </w:rPr>
              <w:t>颗粒物</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r>
              <w:rPr>
                <w:rFonts w:hint="eastAsia" w:ascii="宋体" w:hAnsi="宋体" w:cs="宋体"/>
                <w:color w:val="000000"/>
                <w:sz w:val="21"/>
                <w:szCs w:val="21"/>
              </w:rPr>
              <w:t>实测值</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r>
              <w:rPr>
                <w:rFonts w:hint="eastAsia" w:ascii="宋体" w:hAnsi="宋体" w:cs="宋体"/>
                <w:color w:val="000000"/>
                <w:sz w:val="21"/>
                <w:szCs w:val="21"/>
              </w:rPr>
              <w:t>mg/m</w:t>
            </w:r>
            <w:r>
              <w:rPr>
                <w:rFonts w:hint="eastAsia" w:ascii="宋体" w:hAnsi="宋体" w:cs="宋体"/>
                <w:color w:val="000000"/>
                <w:sz w:val="21"/>
                <w:szCs w:val="21"/>
                <w:vertAlign w:val="superscript"/>
              </w:rPr>
              <w:t>3</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5.0</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4.7</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4.8</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sz w:val="21"/>
                <w:szCs w:val="21"/>
              </w:rPr>
            </w:pP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排放速率</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kg/h</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5.24</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10</w:t>
            </w:r>
            <w:r>
              <w:rPr>
                <w:rFonts w:hint="eastAsia" w:ascii="宋体" w:hAnsi="宋体" w:cs="宋体"/>
                <w:color w:val="000000"/>
                <w:sz w:val="21"/>
                <w:szCs w:val="21"/>
                <w:vertAlign w:val="superscript"/>
                <w:lang w:val="en-US" w:eastAsia="zh-CN"/>
              </w:rPr>
              <w:t>-2</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4.61</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10</w:t>
            </w:r>
            <w:r>
              <w:rPr>
                <w:rFonts w:hint="eastAsia" w:ascii="宋体" w:hAnsi="宋体" w:cs="宋体"/>
                <w:color w:val="000000"/>
                <w:sz w:val="21"/>
                <w:szCs w:val="21"/>
                <w:vertAlign w:val="superscript"/>
                <w:lang w:val="en-US" w:eastAsia="zh-CN"/>
              </w:rPr>
              <w:t>-2</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4.63</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10</w:t>
            </w:r>
            <w:r>
              <w:rPr>
                <w:rFonts w:hint="eastAsia" w:ascii="宋体" w:hAnsi="宋体" w:cs="宋体"/>
                <w:color w:val="000000"/>
                <w:sz w:val="21"/>
                <w:szCs w:val="21"/>
                <w:vertAlign w:val="superscript"/>
                <w:lang w:val="en-US" w:eastAsia="zh-CN"/>
              </w:rPr>
              <w:t>-2</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w:t>
            </w:r>
          </w:p>
        </w:tc>
      </w:tr>
    </w:tbl>
    <w:p>
      <w:pPr>
        <w:pStyle w:val="21"/>
        <w:jc w:val="center"/>
      </w:pPr>
      <w:r>
        <w:rPr>
          <w:rFonts w:hint="eastAsia"/>
        </w:rPr>
        <w:t>表</w:t>
      </w:r>
      <w:r>
        <w:t>9-</w:t>
      </w:r>
      <w:r>
        <w:rPr>
          <w:rFonts w:hint="eastAsia"/>
          <w:lang w:val="en-US" w:eastAsia="zh-CN"/>
        </w:rPr>
        <w:t>2</w:t>
      </w:r>
      <w:r>
        <w:rPr>
          <w:rFonts w:hint="eastAsia"/>
        </w:rPr>
        <w:t>废气监测结果评价表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58"/>
        <w:gridCol w:w="2158"/>
        <w:gridCol w:w="2536"/>
        <w:gridCol w:w="21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239" w:type="pct"/>
            <w:vAlign w:val="center"/>
          </w:tcPr>
          <w:p>
            <w:pPr>
              <w:pStyle w:val="31"/>
            </w:pPr>
            <w:r>
              <w:rPr>
                <w:rFonts w:hint="eastAsia"/>
              </w:rPr>
              <w:t>监测因子</w:t>
            </w:r>
          </w:p>
        </w:tc>
        <w:tc>
          <w:tcPr>
            <w:tcW w:w="1184" w:type="pct"/>
            <w:vAlign w:val="center"/>
          </w:tcPr>
          <w:p>
            <w:pPr>
              <w:pStyle w:val="31"/>
            </w:pPr>
            <w:r>
              <w:rPr>
                <w:rFonts w:hint="eastAsia"/>
              </w:rPr>
              <w:t>最大值</w:t>
            </w:r>
          </w:p>
        </w:tc>
        <w:tc>
          <w:tcPr>
            <w:tcW w:w="1391" w:type="pct"/>
            <w:vAlign w:val="center"/>
          </w:tcPr>
          <w:p>
            <w:pPr>
              <w:pStyle w:val="31"/>
            </w:pPr>
            <w:r>
              <w:rPr>
                <w:rFonts w:hint="eastAsia"/>
              </w:rPr>
              <w:t>标准限值</w:t>
            </w:r>
          </w:p>
        </w:tc>
        <w:tc>
          <w:tcPr>
            <w:tcW w:w="1184" w:type="pct"/>
            <w:vAlign w:val="center"/>
          </w:tcPr>
          <w:p>
            <w:pPr>
              <w:pStyle w:val="31"/>
            </w:pPr>
            <w:r>
              <w:rPr>
                <w:rFonts w:hint="eastAsia"/>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1239" w:type="pct"/>
            <w:vAlign w:val="center"/>
          </w:tcPr>
          <w:p>
            <w:pPr>
              <w:pStyle w:val="31"/>
            </w:pPr>
            <w:r>
              <w:rPr>
                <w:rFonts w:hint="eastAsia"/>
                <w:lang w:val="en-US" w:eastAsia="zh-CN"/>
              </w:rPr>
              <w:t>颗粒物</w:t>
            </w:r>
            <w:r>
              <w:rPr>
                <w:rFonts w:hint="eastAsia"/>
                <w:lang w:eastAsia="zh-CN"/>
              </w:rPr>
              <w:t>（</w:t>
            </w:r>
            <w:r>
              <w:rPr>
                <w:rFonts w:hint="eastAsia"/>
              </w:rPr>
              <w:t>mg/</w:t>
            </w:r>
            <w:r>
              <w:rPr>
                <w:rFonts w:hint="eastAsia"/>
                <w:lang w:eastAsia="zh-CN"/>
              </w:rPr>
              <w:t>m</w:t>
            </w:r>
            <w:r>
              <w:rPr>
                <w:rFonts w:hint="eastAsia"/>
                <w:vertAlign w:val="superscript"/>
                <w:lang w:eastAsia="zh-CN"/>
              </w:rPr>
              <w:t>3</w:t>
            </w:r>
            <w:r>
              <w:rPr>
                <w:rFonts w:hint="eastAsia"/>
              </w:rPr>
              <w:t>）</w:t>
            </w:r>
          </w:p>
        </w:tc>
        <w:tc>
          <w:tcPr>
            <w:tcW w:w="1184" w:type="pct"/>
            <w:vAlign w:val="center"/>
          </w:tcPr>
          <w:p>
            <w:pPr>
              <w:pStyle w:val="31"/>
              <w:rPr>
                <w:rFonts w:hint="default" w:eastAsia="宋体"/>
                <w:lang w:val="en-US" w:eastAsia="zh-CN"/>
              </w:rPr>
            </w:pPr>
            <w:r>
              <w:rPr>
                <w:rFonts w:hint="eastAsia"/>
                <w:lang w:val="en-US" w:eastAsia="zh-CN"/>
              </w:rPr>
              <w:t>5.5</w:t>
            </w:r>
          </w:p>
        </w:tc>
        <w:tc>
          <w:tcPr>
            <w:tcW w:w="1391" w:type="pct"/>
            <w:vAlign w:val="center"/>
          </w:tcPr>
          <w:p>
            <w:pPr>
              <w:pStyle w:val="31"/>
              <w:rPr>
                <w:rFonts w:hint="default"/>
                <w:lang w:val="en-US"/>
              </w:rPr>
            </w:pPr>
            <w:r>
              <w:rPr>
                <w:rFonts w:hint="eastAsia"/>
                <w:lang w:val="en-US" w:eastAsia="zh-CN"/>
              </w:rPr>
              <w:t>120</w:t>
            </w:r>
          </w:p>
        </w:tc>
        <w:tc>
          <w:tcPr>
            <w:tcW w:w="1184" w:type="pct"/>
            <w:vAlign w:val="center"/>
          </w:tcPr>
          <w:p>
            <w:pPr>
              <w:pStyle w:val="31"/>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1239" w:type="pct"/>
            <w:vAlign w:val="center"/>
          </w:tcPr>
          <w:p>
            <w:pPr>
              <w:pStyle w:val="31"/>
            </w:pPr>
            <w:r>
              <w:rPr>
                <w:rFonts w:hint="eastAsia"/>
              </w:rPr>
              <w:t>排口高度</w:t>
            </w:r>
            <w:r>
              <w:rPr>
                <w:rFonts w:hint="eastAsia"/>
                <w:lang w:eastAsia="zh-CN"/>
              </w:rPr>
              <w:t>（</w:t>
            </w:r>
            <w:r>
              <w:rPr>
                <w:rFonts w:hint="eastAsia"/>
              </w:rPr>
              <w:t>m）</w:t>
            </w:r>
          </w:p>
        </w:tc>
        <w:tc>
          <w:tcPr>
            <w:tcW w:w="3760" w:type="pct"/>
            <w:gridSpan w:val="3"/>
            <w:vAlign w:val="center"/>
          </w:tcPr>
          <w:p>
            <w:pPr>
              <w:pStyle w:val="31"/>
            </w:pPr>
            <w:r>
              <w:rPr>
                <w:rFonts w:hint="eastAsia"/>
              </w:rPr>
              <w:t>15</w:t>
            </w:r>
          </w:p>
        </w:tc>
      </w:tr>
    </w:tbl>
    <w:p>
      <w:pPr>
        <w:spacing w:before="326" w:beforeLines="100"/>
        <w:ind w:firstLine="480"/>
      </w:pPr>
      <w:r>
        <w:rPr>
          <w:rFonts w:hint="eastAsia"/>
        </w:rPr>
        <w:t>分析与评价：</w:t>
      </w:r>
    </w:p>
    <w:p>
      <w:pPr>
        <w:ind w:firstLine="480"/>
      </w:pPr>
      <w:r>
        <w:rPr>
          <w:rFonts w:hint="eastAsia"/>
        </w:rPr>
        <w:t>根据以上数据，本项目</w:t>
      </w:r>
      <w:r>
        <w:rPr>
          <w:rFonts w:cs="Times New Roman"/>
        </w:rPr>
        <w:t>有组织排放的</w:t>
      </w:r>
      <w:r>
        <w:rPr>
          <w:rFonts w:hint="eastAsia" w:cs="Times New Roman"/>
          <w:lang w:val="en-US" w:eastAsia="zh-CN"/>
        </w:rPr>
        <w:t>颗粒物浓度最大值为5.5</w:t>
      </w:r>
      <w:r>
        <w:rPr>
          <w:rFonts w:cs="Times New Roman"/>
        </w:rPr>
        <w:t>mg/</w:t>
      </w:r>
      <w:r>
        <w:rPr>
          <w:rFonts w:hint="eastAsia" w:cs="Times New Roman"/>
          <w:lang w:eastAsia="zh-CN"/>
        </w:rPr>
        <w:t>m</w:t>
      </w:r>
      <w:r>
        <w:rPr>
          <w:rFonts w:hint="eastAsia" w:cs="Times New Roman"/>
          <w:vertAlign w:val="superscript"/>
          <w:lang w:eastAsia="zh-CN"/>
        </w:rPr>
        <w:t>3</w:t>
      </w:r>
      <w:r>
        <w:rPr>
          <w:rFonts w:cs="Times New Roman"/>
        </w:rPr>
        <w:t>可满足</w:t>
      </w:r>
      <w:r>
        <w:rPr>
          <w:rFonts w:hint="eastAsia" w:cs="Times New Roman"/>
        </w:rPr>
        <w:t>《大气污染物综合排放标准》</w:t>
      </w:r>
      <w:r>
        <w:rPr>
          <w:rFonts w:hint="eastAsia" w:cs="Times New Roman"/>
          <w:lang w:eastAsia="zh-CN"/>
        </w:rPr>
        <w:t>（</w:t>
      </w:r>
      <w:r>
        <w:rPr>
          <w:rFonts w:hint="eastAsia" w:cs="Times New Roman"/>
        </w:rPr>
        <w:t>GB16297-1996</w:t>
      </w:r>
      <w:r>
        <w:rPr>
          <w:rFonts w:hint="eastAsia" w:cs="Times New Roman"/>
          <w:lang w:eastAsia="zh-CN"/>
        </w:rPr>
        <w:t>）</w:t>
      </w:r>
      <w:r>
        <w:rPr>
          <w:rFonts w:hint="eastAsia" w:cs="Times New Roman"/>
        </w:rPr>
        <w:t>表2排放限值</w:t>
      </w:r>
      <w:r>
        <w:rPr>
          <w:rFonts w:hint="eastAsia" w:cs="Times New Roman"/>
          <w:lang w:eastAsia="zh-CN"/>
        </w:rPr>
        <w:t>（</w:t>
      </w:r>
      <w:r>
        <w:rPr>
          <w:rFonts w:hint="eastAsia" w:cs="Times New Roman"/>
          <w:lang w:val="en-US" w:eastAsia="zh-CN"/>
        </w:rPr>
        <w:t>120</w:t>
      </w:r>
      <w:r>
        <w:rPr>
          <w:rFonts w:cs="Times New Roman"/>
        </w:rPr>
        <w:t>mg/</w:t>
      </w:r>
      <w:r>
        <w:rPr>
          <w:rFonts w:hint="eastAsia" w:cs="Times New Roman"/>
          <w:lang w:eastAsia="zh-CN"/>
        </w:rPr>
        <w:t>m</w:t>
      </w:r>
      <w:r>
        <w:rPr>
          <w:rFonts w:hint="eastAsia" w:cs="Times New Roman"/>
          <w:vertAlign w:val="superscript"/>
          <w:lang w:eastAsia="zh-CN"/>
        </w:rPr>
        <w:t>3</w:t>
      </w:r>
      <w:r>
        <w:rPr>
          <w:rFonts w:cs="Times New Roman"/>
        </w:rPr>
        <w:t>）要求</w:t>
      </w:r>
      <w:r>
        <w:rPr>
          <w:rFonts w:hint="eastAsia" w:cs="Times New Roman"/>
        </w:rPr>
        <w:t>。</w:t>
      </w:r>
    </w:p>
    <w:p>
      <w:pPr>
        <w:spacing w:before="163" w:beforeLines="50"/>
        <w:ind w:firstLine="480"/>
      </w:pPr>
      <w:r>
        <w:rPr>
          <w:rFonts w:hint="eastAsia"/>
          <w:lang w:eastAsia="zh-CN"/>
        </w:rPr>
        <w:t>（</w:t>
      </w:r>
      <w:r>
        <w:t>2）无组织排放</w:t>
      </w:r>
    </w:p>
    <w:p>
      <w:pPr>
        <w:ind w:firstLine="480"/>
      </w:pPr>
      <w:r>
        <w:rPr>
          <w:rFonts w:hint="eastAsia"/>
        </w:rPr>
        <w:t>无组织废气监测结果见表9</w:t>
      </w:r>
      <w:r>
        <w:t>-</w:t>
      </w:r>
      <w:r>
        <w:rPr>
          <w:rFonts w:hint="eastAsia"/>
          <w:lang w:val="en-US" w:eastAsia="zh-CN"/>
        </w:rPr>
        <w:t>3</w:t>
      </w:r>
      <w:r>
        <w:rPr>
          <w:rFonts w:hint="eastAsia"/>
        </w:rPr>
        <w:t>、9-</w:t>
      </w:r>
      <w:r>
        <w:rPr>
          <w:rFonts w:hint="eastAsia"/>
          <w:lang w:val="en-US" w:eastAsia="zh-CN"/>
        </w:rPr>
        <w:t>4</w:t>
      </w:r>
      <w:r>
        <w:rPr>
          <w:rFonts w:hint="eastAsia"/>
        </w:rPr>
        <w:t>。</w:t>
      </w:r>
    </w:p>
    <w:p>
      <w:pPr>
        <w:pStyle w:val="21"/>
      </w:pPr>
      <w:r>
        <w:rPr>
          <w:rFonts w:hint="eastAsia"/>
        </w:rPr>
        <w:t>表9-</w:t>
      </w:r>
      <w:r>
        <w:rPr>
          <w:rFonts w:hint="eastAsia"/>
          <w:lang w:val="en-US" w:eastAsia="zh-CN"/>
        </w:rPr>
        <w:t>3</w:t>
      </w:r>
      <w:r>
        <w:rPr>
          <w:rFonts w:hint="eastAsia"/>
        </w:rPr>
        <w:t>无组织废气监测结果</w:t>
      </w:r>
      <w:r>
        <w:rPr>
          <w:rFonts w:hint="eastAsia"/>
          <w:lang w:eastAsia="zh-CN"/>
        </w:rPr>
        <w:t>（</w:t>
      </w:r>
      <w:r>
        <w:rPr>
          <w:rFonts w:hint="eastAsia" w:ascii="宋体" w:hAnsi="宋体" w:cs="宋体"/>
          <w:szCs w:val="21"/>
          <w:lang w:val="en-US" w:eastAsia="zh-CN"/>
        </w:rPr>
        <w:t>颗粒物</w:t>
      </w:r>
      <w:r>
        <w:rPr>
          <w:rFonts w:hint="eastAsia"/>
        </w:rPr>
        <w:t>）</w:t>
      </w:r>
    </w:p>
    <w:tbl>
      <w:tblPr>
        <w:tblStyle w:val="2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786"/>
        <w:gridCol w:w="1920"/>
        <w:gridCol w:w="1920"/>
        <w:gridCol w:w="1921"/>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rPr>
              <w:t>检测项目</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rPr>
              <w:t>单位</w:t>
            </w:r>
          </w:p>
        </w:tc>
        <w:tc>
          <w:tcPr>
            <w:tcW w:w="576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样品编号及检测结果</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958"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2023年03月16日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上风向</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Q23031257-01</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Q23031257-02</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Q23031257-03</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kern w:val="2"/>
                <w:sz w:val="21"/>
                <w:szCs w:val="21"/>
                <w:highlight w:val="none"/>
                <w:lang w:val="en-US" w:eastAsia="zh-CN" w:bidi="ar-SA"/>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0.083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0.102</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0.093</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下风向1#</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Q23031257-04</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Q23031257-05</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Q23031257-06</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kern w:val="2"/>
                <w:sz w:val="21"/>
                <w:szCs w:val="21"/>
                <w:highlight w:val="none"/>
                <w:lang w:val="en-US" w:eastAsia="zh-CN" w:bidi="ar-SA"/>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0.164</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0.191</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0.163</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下风向2#</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Q23031257-07</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Q23031257-08</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Q23031257-09</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kern w:val="2"/>
                <w:sz w:val="21"/>
                <w:szCs w:val="21"/>
                <w:highlight w:val="none"/>
                <w:lang w:val="en-US" w:eastAsia="zh-CN" w:bidi="ar-SA"/>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0.137</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0.217</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0.193</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下风向3#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Q23031257-10</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Q23031257-11</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Q23031257-12</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kern w:val="2"/>
                <w:sz w:val="21"/>
                <w:szCs w:val="21"/>
                <w:highlight w:val="none"/>
                <w:lang w:val="en-US" w:eastAsia="zh-CN" w:bidi="ar-SA"/>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0.172</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0.160</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0.127</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8958"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2023年03月17日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上风向</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Q23031257-13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Q23031257-14</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Q23031257-15</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0.112</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0.076</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0.095</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下风向1#</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Q23031257-16</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Q23031257-17</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Q23031257-18</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0.142</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0.163</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0.179</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下风向2#</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Q23031257-19</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Q23031257-20</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Q23031257-21</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0.235</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0.169</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0.231</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下风向3#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Q23031257-22</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Q23031257-23</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kern w:val="2"/>
                <w:sz w:val="21"/>
                <w:szCs w:val="21"/>
                <w:lang w:val="en-US" w:eastAsia="zh-CN" w:bidi="ar-SA"/>
              </w:rPr>
              <w:t>Q23031257-24</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eastAsia="zh-CN"/>
              </w:rPr>
              <w:t>颗粒物</w:t>
            </w:r>
            <w:r>
              <w:rPr>
                <w:rFonts w:hint="eastAsia" w:ascii="宋体" w:hAnsi="宋体" w:cs="宋体"/>
                <w:sz w:val="21"/>
                <w:szCs w:val="21"/>
                <w:lang w:val="en-US" w:eastAsia="zh-CN"/>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0.146</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0.188</w:t>
            </w:r>
          </w:p>
        </w:tc>
        <w:tc>
          <w:tcPr>
            <w:tcW w:w="19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0.213</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0.007</w:t>
            </w:r>
          </w:p>
        </w:tc>
      </w:tr>
    </w:tbl>
    <w:p>
      <w:pPr>
        <w:pStyle w:val="21"/>
      </w:pPr>
      <w:r>
        <w:rPr>
          <w:rFonts w:hint="eastAsia"/>
        </w:rPr>
        <w:t>表9</w:t>
      </w:r>
      <w:r>
        <w:t>-</w:t>
      </w:r>
      <w:r>
        <w:rPr>
          <w:rFonts w:hint="eastAsia"/>
          <w:lang w:val="en-US" w:eastAsia="zh-CN"/>
        </w:rPr>
        <w:t>4</w:t>
      </w:r>
      <w:r>
        <w:rPr>
          <w:rFonts w:hint="eastAsia"/>
        </w:rPr>
        <w:t>无组织废气监测结果统计</w:t>
      </w:r>
    </w:p>
    <w:tbl>
      <w:tblPr>
        <w:tblStyle w:val="24"/>
        <w:tblW w:w="895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7"/>
        <w:gridCol w:w="1767"/>
        <w:gridCol w:w="1767"/>
        <w:gridCol w:w="1767"/>
        <w:gridCol w:w="18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1767"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监测因子</w:t>
            </w:r>
          </w:p>
        </w:tc>
        <w:tc>
          <w:tcPr>
            <w:tcW w:w="1767"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浓度范围</w:t>
            </w:r>
          </w:p>
        </w:tc>
        <w:tc>
          <w:tcPr>
            <w:tcW w:w="1767"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最大值</w:t>
            </w:r>
          </w:p>
        </w:tc>
        <w:tc>
          <w:tcPr>
            <w:tcW w:w="1767"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标准限值</w:t>
            </w:r>
          </w:p>
        </w:tc>
        <w:tc>
          <w:tcPr>
            <w:tcW w:w="1888"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1767"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颗粒物</w:t>
            </w:r>
          </w:p>
        </w:tc>
        <w:tc>
          <w:tcPr>
            <w:tcW w:w="1767" w:type="dxa"/>
            <w:vAlign w:val="center"/>
          </w:tcPr>
          <w:p>
            <w:pPr>
              <w:pStyle w:val="31"/>
              <w:rPr>
                <w:rFonts w:hint="default" w:ascii="Times New Roman" w:hAnsi="Times New Roman" w:eastAsia="宋体" w:cs="Times New Roman"/>
                <w:lang w:val="en-US" w:eastAsia="zh-CN"/>
              </w:rPr>
            </w:pPr>
            <w:r>
              <w:rPr>
                <w:rFonts w:hint="default" w:ascii="Times New Roman" w:hAnsi="Times New Roman" w:eastAsia="宋体" w:cs="Times New Roman"/>
              </w:rPr>
              <w:t>0.0</w:t>
            </w:r>
            <w:r>
              <w:rPr>
                <w:rFonts w:hint="eastAsia" w:cs="Times New Roman"/>
                <w:lang w:val="en-US" w:eastAsia="zh-CN"/>
              </w:rPr>
              <w:t>93</w:t>
            </w:r>
            <w:r>
              <w:rPr>
                <w:rFonts w:hint="default" w:ascii="Times New Roman" w:hAnsi="Times New Roman" w:eastAsia="宋体" w:cs="Times New Roman"/>
              </w:rPr>
              <w:t>~0.</w:t>
            </w:r>
            <w:r>
              <w:rPr>
                <w:rFonts w:hint="eastAsia" w:cs="Times New Roman"/>
                <w:lang w:val="en-US" w:eastAsia="zh-CN"/>
              </w:rPr>
              <w:t>235</w:t>
            </w:r>
          </w:p>
        </w:tc>
        <w:tc>
          <w:tcPr>
            <w:tcW w:w="1767" w:type="dxa"/>
            <w:vAlign w:val="center"/>
          </w:tcPr>
          <w:p>
            <w:pPr>
              <w:pStyle w:val="31"/>
              <w:rPr>
                <w:rFonts w:hint="default" w:ascii="Times New Roman" w:hAnsi="Times New Roman" w:eastAsia="宋体" w:cs="Times New Roman"/>
                <w:lang w:val="en-US" w:eastAsia="zh-CN"/>
              </w:rPr>
            </w:pPr>
            <w:r>
              <w:rPr>
                <w:rFonts w:hint="default" w:ascii="Times New Roman" w:hAnsi="Times New Roman" w:eastAsia="宋体" w:cs="Times New Roman"/>
              </w:rPr>
              <w:t>0.</w:t>
            </w:r>
            <w:r>
              <w:rPr>
                <w:rFonts w:hint="eastAsia" w:cs="Times New Roman"/>
                <w:lang w:val="en-US" w:eastAsia="zh-CN"/>
              </w:rPr>
              <w:t>235</w:t>
            </w:r>
          </w:p>
        </w:tc>
        <w:tc>
          <w:tcPr>
            <w:tcW w:w="1767"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1.0</w:t>
            </w:r>
          </w:p>
        </w:tc>
        <w:tc>
          <w:tcPr>
            <w:tcW w:w="1888" w:type="dxa"/>
            <w:vAlign w:val="center"/>
          </w:tcPr>
          <w:p>
            <w:pPr>
              <w:pStyle w:val="31"/>
              <w:rPr>
                <w:rFonts w:hint="default" w:ascii="Times New Roman" w:hAnsi="Times New Roman" w:eastAsia="宋体" w:cs="Times New Roman"/>
              </w:rPr>
            </w:pPr>
            <w:r>
              <w:rPr>
                <w:rFonts w:hint="default" w:ascii="Times New Roman" w:hAnsi="Times New Roman" w:eastAsia="宋体" w:cs="Times New Roman"/>
              </w:rPr>
              <w:t>达标</w:t>
            </w:r>
          </w:p>
        </w:tc>
      </w:tr>
    </w:tbl>
    <w:p>
      <w:pPr>
        <w:spacing w:before="163" w:beforeLines="50"/>
        <w:ind w:firstLine="480"/>
      </w:pPr>
      <w:bookmarkStart w:id="172" w:name="_Hlk18693046"/>
      <w:r>
        <w:rPr>
          <w:rFonts w:hint="eastAsia"/>
        </w:rPr>
        <w:t>验收监测结果显示：项目区厂界四周颗粒物的最高浓度值为</w:t>
      </w:r>
      <w:r>
        <w:t>0</w:t>
      </w:r>
      <w:r>
        <w:rPr>
          <w:rFonts w:hint="eastAsia"/>
        </w:rPr>
        <w:t>.</w:t>
      </w:r>
      <w:r>
        <w:rPr>
          <w:rFonts w:hint="eastAsia"/>
          <w:lang w:val="en-US" w:eastAsia="zh-CN"/>
        </w:rPr>
        <w:t>235</w:t>
      </w:r>
      <w:r>
        <w:t>mg/</w:t>
      </w:r>
      <w:r>
        <w:rPr>
          <w:rFonts w:hint="eastAsia"/>
          <w:lang w:eastAsia="zh-CN"/>
        </w:rPr>
        <w:t>m</w:t>
      </w:r>
      <w:r>
        <w:rPr>
          <w:rFonts w:hint="eastAsia"/>
          <w:vertAlign w:val="superscript"/>
          <w:lang w:eastAsia="zh-CN"/>
        </w:rPr>
        <w:t>3</w:t>
      </w:r>
      <w:r>
        <w:rPr>
          <w:rFonts w:hint="eastAsia"/>
        </w:rPr>
        <w:t>，未超过</w:t>
      </w:r>
      <w:r>
        <w:rPr>
          <w:rFonts w:hint="eastAsia" w:ascii="宋体" w:hAnsi="宋体" w:eastAsia="宋体" w:cs="宋体"/>
        </w:rPr>
        <w:t>。厂界处颗粒物浓度须符合《大气污染物综合排放标准》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表2限值</w:t>
      </w:r>
      <w:r>
        <w:rPr>
          <w:rFonts w:cs="Times New Roman"/>
        </w:rPr>
        <w:t>颗粒物浓度限值</w:t>
      </w:r>
      <w:r>
        <w:rPr>
          <w:rFonts w:hint="eastAsia" w:cs="Times New Roman"/>
          <w:lang w:eastAsia="zh-CN"/>
        </w:rPr>
        <w:t>（</w:t>
      </w:r>
      <w:r>
        <w:rPr>
          <w:rFonts w:cs="Times New Roman"/>
        </w:rPr>
        <w:t>1.0mg/</w:t>
      </w:r>
      <w:r>
        <w:rPr>
          <w:rFonts w:hint="eastAsia" w:cs="Times New Roman"/>
          <w:lang w:eastAsia="zh-CN"/>
        </w:rPr>
        <w:t>m</w:t>
      </w:r>
      <w:r>
        <w:rPr>
          <w:rFonts w:hint="eastAsia" w:cs="Times New Roman"/>
          <w:vertAlign w:val="superscript"/>
          <w:lang w:eastAsia="zh-CN"/>
        </w:rPr>
        <w:t>3</w:t>
      </w:r>
      <w:r>
        <w:rPr>
          <w:rFonts w:cs="Times New Roman"/>
        </w:rPr>
        <w:t>）要求。</w:t>
      </w:r>
    </w:p>
    <w:bookmarkEnd w:id="172"/>
    <w:p>
      <w:pPr>
        <w:pStyle w:val="5"/>
        <w:ind w:firstLine="482" w:firstLineChars="200"/>
      </w:pPr>
      <w:r>
        <w:t>9.2.</w:t>
      </w:r>
      <w:r>
        <w:rPr>
          <w:rFonts w:hint="eastAsia"/>
          <w:lang w:val="en-US" w:eastAsia="zh-CN"/>
        </w:rPr>
        <w:t>1</w:t>
      </w:r>
      <w:r>
        <w:t>.2厂界噪声</w:t>
      </w:r>
    </w:p>
    <w:p>
      <w:pPr>
        <w:ind w:firstLine="480"/>
      </w:pPr>
      <w:r>
        <w:rPr>
          <w:rFonts w:hint="eastAsia"/>
        </w:rPr>
        <w:t>厂界噪声监测结果见表</w:t>
      </w:r>
      <w:r>
        <w:t>9-</w:t>
      </w:r>
      <w:r>
        <w:rPr>
          <w:rFonts w:hint="eastAsia"/>
          <w:lang w:val="en-US" w:eastAsia="zh-CN"/>
        </w:rPr>
        <w:t>5</w:t>
      </w:r>
      <w:r>
        <w:rPr>
          <w:rFonts w:hint="eastAsia"/>
        </w:rPr>
        <w:t>。</w:t>
      </w:r>
    </w:p>
    <w:p>
      <w:pPr>
        <w:pStyle w:val="21"/>
      </w:pPr>
      <w:r>
        <w:rPr>
          <w:rFonts w:hint="eastAsia"/>
        </w:rPr>
        <w:t>表9</w:t>
      </w:r>
      <w:r>
        <w:t>-</w:t>
      </w:r>
      <w:r>
        <w:rPr>
          <w:rFonts w:hint="eastAsia"/>
          <w:lang w:val="en-US" w:eastAsia="zh-CN"/>
        </w:rPr>
        <w:t>5</w:t>
      </w:r>
      <w:r>
        <w:rPr>
          <w:rFonts w:hint="eastAsia"/>
        </w:rPr>
        <w:t>厂界噪声监测结果</w:t>
      </w:r>
    </w:p>
    <w:tbl>
      <w:tblPr>
        <w:tblStyle w:val="23"/>
        <w:tblW w:w="894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842"/>
        <w:gridCol w:w="1910"/>
        <w:gridCol w:w="1026"/>
        <w:gridCol w:w="1026"/>
        <w:gridCol w:w="1026"/>
        <w:gridCol w:w="127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940"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2023年03月16日</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73"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检测时间</w:t>
            </w:r>
          </w:p>
        </w:tc>
        <w:tc>
          <w:tcPr>
            <w:tcW w:w="19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检测点位</w:t>
            </w:r>
          </w:p>
        </w:tc>
        <w:tc>
          <w:tcPr>
            <w:tcW w:w="30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rPr>
              <w:t>检测结果dB</w:t>
            </w:r>
            <w:r>
              <w:rPr>
                <w:rFonts w:hint="eastAsia" w:ascii="宋体" w:hAnsi="宋体" w:cs="宋体"/>
                <w:color w:val="000000"/>
                <w:sz w:val="21"/>
                <w:szCs w:val="21"/>
                <w:lang w:eastAsia="zh-CN"/>
              </w:rPr>
              <w:t>（</w:t>
            </w:r>
            <w:r>
              <w:rPr>
                <w:rFonts w:hint="eastAsia" w:ascii="宋体" w:hAnsi="宋体" w:cs="宋体"/>
                <w:color w:val="000000"/>
                <w:sz w:val="21"/>
                <w:szCs w:val="21"/>
              </w:rPr>
              <w:t>A</w:t>
            </w:r>
            <w:r>
              <w:rPr>
                <w:rFonts w:hint="eastAsia" w:ascii="宋体" w:hAnsi="宋体" w:cs="宋体"/>
                <w:color w:val="000000"/>
                <w:sz w:val="21"/>
                <w:szCs w:val="21"/>
                <w:lang w:eastAsia="zh-CN"/>
              </w:rPr>
              <w:t>）</w:t>
            </w:r>
          </w:p>
        </w:tc>
        <w:tc>
          <w:tcPr>
            <w:tcW w:w="12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7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9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测量值</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背景值</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修正值</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昼间</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14:20</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东</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47.5</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测</w:t>
            </w:r>
            <w:r>
              <w:rPr>
                <w:rFonts w:hint="eastAsia" w:ascii="宋体" w:hAnsi="宋体" w:cs="宋体"/>
                <w:color w:val="000000"/>
                <w:sz w:val="21"/>
                <w:szCs w:val="21"/>
                <w:lang w:eastAsia="zh-CN"/>
              </w:rPr>
              <w:t>量</w:t>
            </w:r>
            <w:r>
              <w:rPr>
                <w:rFonts w:hint="eastAsia" w:ascii="宋体" w:hAnsi="宋体" w:cs="宋体"/>
                <w:color w:val="000000"/>
                <w:sz w:val="21"/>
                <w:szCs w:val="21"/>
              </w:rPr>
              <w:t>值取等效声级Leq</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14:29</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51.2</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14:37</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西</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47.4</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14:48</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49.3</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夜间</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01:08</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东</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44.7</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01:20</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46.8</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01:28</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西</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44.2</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01:38</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46.2</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940"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2023年03月17日</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73"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检测时间</w:t>
            </w:r>
          </w:p>
        </w:tc>
        <w:tc>
          <w:tcPr>
            <w:tcW w:w="19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检测点位</w:t>
            </w:r>
          </w:p>
        </w:tc>
        <w:tc>
          <w:tcPr>
            <w:tcW w:w="30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rPr>
              <w:t>检测结果dB</w:t>
            </w:r>
            <w:r>
              <w:rPr>
                <w:rFonts w:hint="eastAsia" w:ascii="宋体" w:hAnsi="宋体" w:cs="宋体"/>
                <w:color w:val="000000"/>
                <w:sz w:val="21"/>
                <w:szCs w:val="21"/>
                <w:lang w:eastAsia="zh-CN"/>
              </w:rPr>
              <w:t>（</w:t>
            </w:r>
            <w:r>
              <w:rPr>
                <w:rFonts w:hint="eastAsia" w:ascii="宋体" w:hAnsi="宋体" w:cs="宋体"/>
                <w:color w:val="000000"/>
                <w:sz w:val="21"/>
                <w:szCs w:val="21"/>
              </w:rPr>
              <w:t>A</w:t>
            </w:r>
            <w:r>
              <w:rPr>
                <w:rFonts w:hint="eastAsia" w:ascii="宋体" w:hAnsi="宋体" w:cs="宋体"/>
                <w:color w:val="000000"/>
                <w:sz w:val="21"/>
                <w:szCs w:val="21"/>
                <w:lang w:eastAsia="zh-CN"/>
              </w:rPr>
              <w:t>）</w:t>
            </w:r>
          </w:p>
        </w:tc>
        <w:tc>
          <w:tcPr>
            <w:tcW w:w="12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7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9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测量值</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背景值</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修正值</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昼间</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12:26</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东</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48.5</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测</w:t>
            </w:r>
            <w:r>
              <w:rPr>
                <w:rFonts w:hint="eastAsia" w:ascii="宋体" w:hAnsi="宋体" w:cs="宋体"/>
                <w:color w:val="000000"/>
                <w:sz w:val="21"/>
                <w:szCs w:val="21"/>
                <w:lang w:eastAsia="zh-CN"/>
              </w:rPr>
              <w:t>量</w:t>
            </w:r>
            <w:r>
              <w:rPr>
                <w:rFonts w:hint="eastAsia" w:ascii="宋体" w:hAnsi="宋体" w:cs="宋体"/>
                <w:color w:val="000000"/>
                <w:sz w:val="21"/>
                <w:szCs w:val="21"/>
              </w:rPr>
              <w:t>值取等效声级Leq</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12:34</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50.3</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12:42</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西</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47.2</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12:52</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49.5</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夜间</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02:06</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东</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45.3</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02:17</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46.8</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02:26</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西</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44.3</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02:35</w:t>
            </w:r>
          </w:p>
        </w:tc>
        <w:tc>
          <w:tcPr>
            <w:tcW w:w="19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2"/>
                <w:sz w:val="21"/>
                <w:szCs w:val="21"/>
                <w:lang w:val="en-US" w:eastAsia="zh-CN" w:bidi="ar-SA"/>
              </w:rPr>
            </w:pPr>
            <w:r>
              <w:rPr>
                <w:rFonts w:hint="eastAsia" w:ascii="宋体" w:hAnsi="宋体" w:cs="宋体"/>
                <w:color w:val="000000"/>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45.3</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r>
              <w:rPr>
                <w:rFonts w:hint="eastAsia" w:ascii="宋体" w:hAnsi="宋体" w:cs="宋体"/>
                <w:color w:val="000000"/>
                <w:sz w:val="21"/>
                <w:szCs w:val="21"/>
              </w:rPr>
              <w:t>-</w:t>
            </w:r>
          </w:p>
        </w:tc>
        <w:tc>
          <w:tcPr>
            <w:tcW w:w="12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21"/>
                <w:szCs w:val="21"/>
              </w:rPr>
            </w:pPr>
          </w:p>
        </w:tc>
      </w:tr>
    </w:tbl>
    <w:p>
      <w:pPr>
        <w:spacing w:before="163" w:beforeLines="50"/>
        <w:ind w:firstLine="480"/>
        <w:rPr>
          <w:rFonts w:hint="eastAsia" w:cs="Times New Roman"/>
          <w:szCs w:val="21"/>
        </w:rPr>
      </w:pPr>
      <w:r>
        <w:rPr>
          <w:rFonts w:hint="eastAsia"/>
        </w:rPr>
        <w:t>由表9</w:t>
      </w:r>
      <w:r>
        <w:t>-</w:t>
      </w:r>
      <w:r>
        <w:rPr>
          <w:rFonts w:hint="eastAsia"/>
          <w:lang w:val="en-US" w:eastAsia="zh-CN"/>
        </w:rPr>
        <w:t>5</w:t>
      </w:r>
      <w:r>
        <w:rPr>
          <w:rFonts w:hint="eastAsia"/>
        </w:rPr>
        <w:t>可知，验收监测期间，企业厂界东侧、南侧、西侧、北侧监控点昼间厂界噪声最大值为</w:t>
      </w:r>
      <w:r>
        <w:rPr>
          <w:rFonts w:hint="eastAsia" w:cs="Times New Roman"/>
          <w:sz w:val="24"/>
          <w:szCs w:val="24"/>
          <w:lang w:val="en-US" w:eastAsia="zh-CN"/>
        </w:rPr>
        <w:t>47.2</w:t>
      </w:r>
      <w:r>
        <w:rPr>
          <w:rFonts w:hint="eastAsia" w:ascii="Times New Roman" w:hAnsi="Times New Roman" w:eastAsia="宋体" w:cs="Times New Roman"/>
          <w:sz w:val="24"/>
          <w:szCs w:val="24"/>
          <w:lang w:val="en-US" w:eastAsia="zh-CN"/>
        </w:rPr>
        <w:t>~51.</w:t>
      </w:r>
      <w:r>
        <w:rPr>
          <w:rFonts w:hint="eastAsia" w:cs="Times New Roman"/>
          <w:sz w:val="24"/>
          <w:szCs w:val="24"/>
          <w:lang w:val="en-US" w:eastAsia="zh-CN"/>
        </w:rPr>
        <w:t>2</w:t>
      </w:r>
      <w:r>
        <w:rPr>
          <w:rFonts w:hint="eastAsia"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A）</w:t>
      </w:r>
      <w:r>
        <w:rPr>
          <w:rFonts w:hint="eastAsia"/>
        </w:rPr>
        <w:t>，夜间厂界噪声最大值为</w:t>
      </w:r>
      <w:r>
        <w:rPr>
          <w:rFonts w:hint="eastAsia" w:ascii="Times New Roman" w:hAnsi="Times New Roman" w:eastAsia="宋体" w:cs="Times New Roman"/>
          <w:sz w:val="24"/>
          <w:szCs w:val="24"/>
          <w:lang w:val="en-US" w:eastAsia="zh-CN"/>
        </w:rPr>
        <w:t>4</w:t>
      </w:r>
      <w:r>
        <w:rPr>
          <w:rFonts w:hint="eastAsia" w:cs="Times New Roman"/>
          <w:sz w:val="24"/>
          <w:szCs w:val="24"/>
          <w:lang w:val="en-US" w:eastAsia="zh-CN"/>
        </w:rPr>
        <w:t>4.3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46.8</w:t>
      </w:r>
      <w:r>
        <w:rPr>
          <w:rFonts w:hint="eastAsia"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A）</w:t>
      </w:r>
      <w:r>
        <w:rPr>
          <w:rFonts w:hint="eastAsia"/>
        </w:rPr>
        <w:t>，符合</w:t>
      </w:r>
      <w:r>
        <w:rPr>
          <w:rFonts w:hint="eastAsia" w:cs="Times New Roman"/>
          <w:szCs w:val="21"/>
        </w:rPr>
        <w:t>《工业企业厂界环境噪声排放标准》</w:t>
      </w:r>
      <w:r>
        <w:rPr>
          <w:rFonts w:hint="eastAsia" w:cs="Times New Roman"/>
          <w:szCs w:val="21"/>
          <w:lang w:eastAsia="zh-CN"/>
        </w:rPr>
        <w:t>（</w:t>
      </w:r>
      <w:r>
        <w:rPr>
          <w:rFonts w:cs="Times New Roman"/>
          <w:szCs w:val="21"/>
        </w:rPr>
        <w:t>GB12348-2008</w:t>
      </w:r>
      <w:r>
        <w:rPr>
          <w:rFonts w:hint="eastAsia" w:cs="Times New Roman"/>
          <w:szCs w:val="21"/>
        </w:rPr>
        <w:t>）表1中</w:t>
      </w:r>
      <w:r>
        <w:rPr>
          <w:rFonts w:cs="Times New Roman"/>
          <w:szCs w:val="21"/>
        </w:rPr>
        <w:t>3</w:t>
      </w:r>
      <w:r>
        <w:rPr>
          <w:rFonts w:hint="eastAsia" w:cs="Times New Roman"/>
          <w:szCs w:val="21"/>
        </w:rPr>
        <w:t>类标准限值要求。</w:t>
      </w:r>
    </w:p>
    <w:p>
      <w:pPr>
        <w:pStyle w:val="5"/>
        <w:bidi w:val="0"/>
        <w:rPr>
          <w:rFonts w:hint="eastAsia"/>
          <w:lang w:val="en-US" w:eastAsia="zh-CN"/>
        </w:rPr>
      </w:pPr>
      <w:bookmarkStart w:id="173" w:name="_Toc28284"/>
      <w:bookmarkStart w:id="174" w:name="_Toc18915046"/>
      <w:r>
        <w:rPr>
          <w:rFonts w:hint="eastAsia"/>
          <w:lang w:val="en-US" w:eastAsia="zh-CN"/>
        </w:rPr>
        <w:t>9.2.1.3地下水监测</w:t>
      </w:r>
    </w:p>
    <w:p>
      <w:pPr>
        <w:spacing w:before="163" w:beforeLines="50"/>
        <w:ind w:firstLine="480"/>
        <w:rPr>
          <w:rFonts w:hint="eastAsia"/>
          <w:lang w:val="en-US" w:eastAsia="zh-CN"/>
        </w:rPr>
      </w:pPr>
      <w:r>
        <w:rPr>
          <w:rFonts w:hint="eastAsia"/>
          <w:lang w:val="en-US" w:eastAsia="zh-CN"/>
        </w:rPr>
        <w:t>本项目地下水监测内容见表9-6所示</w:t>
      </w:r>
    </w:p>
    <w:p>
      <w:pPr>
        <w:spacing w:before="163" w:beforeLines="50"/>
        <w:ind w:firstLine="480"/>
        <w:jc w:val="center"/>
        <w:rPr>
          <w:rFonts w:hint="default"/>
          <w:b/>
          <w:bCs/>
          <w:lang w:val="en-US" w:eastAsia="zh-CN"/>
        </w:rPr>
      </w:pPr>
      <w:r>
        <w:rPr>
          <w:rFonts w:hint="eastAsia"/>
          <w:b/>
          <w:bCs/>
          <w:lang w:val="en-US" w:eastAsia="zh-CN"/>
        </w:rPr>
        <w:t>表9-6   地下水监测内容</w:t>
      </w:r>
    </w:p>
    <w:tbl>
      <w:tblPr>
        <w:tblStyle w:val="23"/>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555"/>
        <w:gridCol w:w="1009"/>
        <w:gridCol w:w="2155"/>
        <w:gridCol w:w="1295"/>
        <w:gridCol w:w="1200"/>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15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检 测 项 目</w:t>
            </w:r>
          </w:p>
        </w:tc>
        <w:tc>
          <w:tcPr>
            <w:tcW w:w="100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单位</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样品编号及检测结果</w:t>
            </w:r>
          </w:p>
        </w:tc>
        <w:tc>
          <w:tcPr>
            <w:tcW w:w="12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限值</w:t>
            </w:r>
          </w:p>
        </w:tc>
        <w:tc>
          <w:tcPr>
            <w:tcW w:w="12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检出限</w:t>
            </w:r>
          </w:p>
        </w:tc>
        <w:tc>
          <w:tcPr>
            <w:tcW w:w="11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是否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15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100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GW23060253-01</w:t>
            </w:r>
          </w:p>
        </w:tc>
        <w:tc>
          <w:tcPr>
            <w:tcW w:w="12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12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11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pH</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无量纲</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7.8</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6.5～8.5</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2</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总硬度</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1.21×10</w:t>
            </w:r>
            <w:r>
              <w:rPr>
                <w:rFonts w:hint="default" w:ascii="Times New Roman" w:hAnsi="Times New Roman" w:eastAsia="宋体" w:cs="Times New Roman"/>
                <w:color w:val="000000"/>
                <w:kern w:val="2"/>
                <w:sz w:val="21"/>
                <w:szCs w:val="21"/>
                <w:vertAlign w:val="superscript"/>
                <w:lang w:val="en-US" w:eastAsia="zh-CN" w:bidi="ar-SA"/>
              </w:rPr>
              <w:t>3</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450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5</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不达标，地质原因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3</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溶解性总固体</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2.83×10</w:t>
            </w:r>
            <w:r>
              <w:rPr>
                <w:rFonts w:hint="default" w:ascii="Times New Roman" w:hAnsi="Times New Roman" w:eastAsia="宋体" w:cs="Times New Roman"/>
                <w:color w:val="000000"/>
                <w:kern w:val="2"/>
                <w:sz w:val="21"/>
                <w:szCs w:val="21"/>
                <w:vertAlign w:val="superscript"/>
                <w:lang w:val="en-US" w:eastAsia="zh-CN" w:bidi="ar-SA"/>
              </w:rPr>
              <w:t>3</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1000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不达标，地质原因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4</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耗氧量</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1.4</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0.5</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5</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氯化物</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749</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250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10</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不达标，地质原因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氨氮</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0.044</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0.50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0.025</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7</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硝酸盐氮</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4.87</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20.0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0.02</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8</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亚硝酸盐</w:t>
            </w:r>
            <w:r>
              <w:rPr>
                <w:rFonts w:hint="default" w:ascii="Times New Roman" w:hAnsi="Times New Roman" w:eastAsia="宋体" w:cs="Times New Roman"/>
                <w:color w:val="000000"/>
                <w:sz w:val="21"/>
                <w:szCs w:val="21"/>
                <w:lang w:eastAsia="zh-CN"/>
              </w:rPr>
              <w:t>氮</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1.00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0.003</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9</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挥发酚</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0.002</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0.0003</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10</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氰化物</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0.05</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0.002</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11</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六价铬</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0.05</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0.004</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12</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硫酸盐</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403</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250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10</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不达标，地质原因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13</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氟化物</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0.02</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14</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汞</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0.001</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0.4×10</w:t>
            </w:r>
            <w:r>
              <w:rPr>
                <w:rFonts w:hint="default" w:ascii="Times New Roman" w:hAnsi="Times New Roman" w:eastAsia="宋体" w:cs="Times New Roman"/>
                <w:color w:val="000000"/>
                <w:kern w:val="2"/>
                <w:sz w:val="21"/>
                <w:szCs w:val="21"/>
                <w:vertAlign w:val="superscript"/>
                <w:lang w:val="en-US" w:eastAsia="zh-CN" w:bidi="ar-SA"/>
              </w:rPr>
              <w:t>-4</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15</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砷</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0.0004</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0.0</w:t>
            </w:r>
            <w:r>
              <w:rPr>
                <w:rFonts w:hint="default" w:ascii="Times New Roman" w:hAnsi="Times New Roman" w:eastAsia="宋体" w:cs="Times New Roman"/>
                <w:color w:val="000000"/>
                <w:sz w:val="21"/>
                <w:szCs w:val="21"/>
                <w:lang w:val="en-US" w:eastAsia="zh-CN"/>
              </w:rPr>
              <w:t>1</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0.3×10</w:t>
            </w:r>
            <w:r>
              <w:rPr>
                <w:rFonts w:hint="default" w:ascii="Times New Roman" w:hAnsi="Times New Roman" w:eastAsia="宋体" w:cs="Times New Roman"/>
                <w:color w:val="000000"/>
                <w:kern w:val="2"/>
                <w:sz w:val="21"/>
                <w:szCs w:val="21"/>
                <w:vertAlign w:val="superscript"/>
                <w:lang w:val="en-US" w:eastAsia="zh-CN" w:bidi="ar-SA"/>
              </w:rPr>
              <w:t>-3</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铜</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1.00</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0.05</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17</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铅</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0.01</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2.5×10</w:t>
            </w:r>
            <w:r>
              <w:rPr>
                <w:rFonts w:hint="default" w:ascii="Times New Roman" w:hAnsi="Times New Roman" w:eastAsia="宋体" w:cs="Times New Roman"/>
                <w:color w:val="000000"/>
                <w:kern w:val="2"/>
                <w:sz w:val="21"/>
                <w:szCs w:val="21"/>
                <w:vertAlign w:val="superscript"/>
                <w:lang w:val="en-US" w:eastAsia="zh-CN" w:bidi="ar-SA"/>
              </w:rPr>
              <w:t>-3</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18</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镉</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mg/L</w:t>
            </w:r>
          </w:p>
        </w:tc>
        <w:tc>
          <w:tcPr>
            <w:tcW w:w="2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lang w:val="en-US" w:eastAsia="zh-CN" w:bidi="ar-SA"/>
              </w:rPr>
              <w:t>ND</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0.005</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0.5×10</w:t>
            </w:r>
            <w:r>
              <w:rPr>
                <w:rFonts w:hint="default" w:ascii="Times New Roman" w:hAnsi="Times New Roman" w:eastAsia="宋体" w:cs="Times New Roman"/>
                <w:color w:val="000000"/>
                <w:kern w:val="2"/>
                <w:sz w:val="21"/>
                <w:szCs w:val="21"/>
                <w:vertAlign w:val="superscript"/>
                <w:lang w:val="en-US" w:eastAsia="zh-CN" w:bidi="ar-SA"/>
              </w:rPr>
              <w:t>-3</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达标</w:t>
            </w:r>
          </w:p>
        </w:tc>
      </w:tr>
    </w:tbl>
    <w:p>
      <w:pPr>
        <w:spacing w:before="163" w:beforeLines="50"/>
        <w:ind w:firstLine="480"/>
        <w:rPr>
          <w:rFonts w:hint="default"/>
          <w:lang w:val="en-US" w:eastAsia="zh-CN"/>
        </w:rPr>
      </w:pPr>
      <w:r>
        <w:rPr>
          <w:rFonts w:hint="eastAsia"/>
          <w:lang w:val="en-US" w:eastAsia="zh-CN"/>
        </w:rPr>
        <w:t>根据监测结果，地下水</w:t>
      </w:r>
      <w:r>
        <w:rPr>
          <w:rFonts w:hint="default"/>
          <w:lang w:val="en-US" w:eastAsia="zh-CN"/>
        </w:rPr>
        <w:t>溶解性总固体、氯化物、硫酸盐以及总硬度超过《地下水质量标准》(GB 14848-2017)中</w:t>
      </w:r>
      <w:r>
        <w:rPr>
          <w:rFonts w:hint="eastAsia" w:ascii="华文宋体" w:hAnsi="华文宋体" w:eastAsia="华文宋体" w:cs="华文宋体"/>
          <w:lang w:val="en-US" w:eastAsia="zh-CN"/>
        </w:rPr>
        <w:t>Ⅲ</w:t>
      </w:r>
      <w:r>
        <w:rPr>
          <w:rFonts w:hint="default"/>
          <w:lang w:val="en-US" w:eastAsia="zh-CN"/>
        </w:rPr>
        <w:t>类标准，其他监测因子均达标，超标因子与区域水文地质条件有关。</w:t>
      </w:r>
    </w:p>
    <w:p>
      <w:pPr>
        <w:spacing w:before="163" w:beforeLines="50"/>
        <w:ind w:firstLine="480"/>
        <w:rPr>
          <w:rFonts w:hint="default"/>
          <w:lang w:val="en-US" w:eastAsia="zh-CN"/>
        </w:rPr>
        <w:sectPr>
          <w:pgSz w:w="11906" w:h="16838"/>
          <w:pgMar w:top="1418" w:right="1588" w:bottom="1418" w:left="1418" w:header="851" w:footer="992" w:gutter="0"/>
          <w:pgNumType w:fmt="decimal"/>
          <w:cols w:space="425" w:num="1"/>
          <w:docGrid w:type="lines" w:linePitch="326" w:charSpace="0"/>
        </w:sectPr>
      </w:pPr>
    </w:p>
    <w:p>
      <w:pPr>
        <w:pStyle w:val="2"/>
      </w:pPr>
      <w:bookmarkStart w:id="175" w:name="_Toc4591"/>
      <w:r>
        <w:t>10.验收监测结论</w:t>
      </w:r>
      <w:bookmarkEnd w:id="173"/>
      <w:bookmarkEnd w:id="174"/>
      <w:bookmarkEnd w:id="175"/>
    </w:p>
    <w:p>
      <w:pPr>
        <w:pStyle w:val="3"/>
      </w:pPr>
      <w:bookmarkStart w:id="176" w:name="_Toc1974"/>
      <w:bookmarkStart w:id="177" w:name="_Toc18915047"/>
      <w:bookmarkStart w:id="178" w:name="_Toc19239"/>
      <w:r>
        <w:t>10.1污染物排放监测结果</w:t>
      </w:r>
      <w:bookmarkEnd w:id="176"/>
      <w:bookmarkEnd w:id="177"/>
      <w:bookmarkEnd w:id="178"/>
    </w:p>
    <w:p>
      <w:pPr>
        <w:keepNext w:val="0"/>
        <w:keepLines w:val="0"/>
        <w:pageBreakBefore w:val="0"/>
        <w:kinsoku/>
        <w:wordWrap/>
        <w:overflowPunct/>
        <w:topLinePunct w:val="0"/>
        <w:bidi w:val="0"/>
        <w:ind w:left="0" w:firstLine="480" w:firstLineChars="200"/>
      </w:pPr>
      <w:r>
        <w:rPr>
          <w:rFonts w:hint="eastAsia"/>
        </w:rPr>
        <w:t>1、废气验收监测结论</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Chars="0" w:firstLine="480" w:firstLineChars="200"/>
        <w:jc w:val="both"/>
        <w:textAlignment w:val="baseline"/>
        <w:rPr>
          <w:rFonts w:hint="eastAsia" w:ascii="宋体" w:hAnsi="宋体" w:eastAsia="宋体" w:cs="宋体"/>
        </w:rPr>
      </w:pPr>
      <w:bookmarkStart w:id="179" w:name="_Hlk19702677"/>
      <w:r>
        <w:rPr>
          <w:rFonts w:hint="eastAsia"/>
        </w:rPr>
        <w:t>本项目</w:t>
      </w:r>
      <w:bookmarkEnd w:id="179"/>
      <w:bookmarkStart w:id="180" w:name="_Hlk19702828"/>
      <w:r>
        <w:rPr>
          <w:rFonts w:hint="eastAsia" w:ascii="宋体" w:hAnsi="宋体" w:eastAsia="宋体" w:cs="宋体"/>
        </w:rPr>
        <w:t>运营期产生的废气主要为纸机干燥起皱工序、复卷分切工序、后加工工序含尘废气，主要污染物为颗粒物。经集尘罩捕集、袋式除尘器处理后，通过15米高排气筒排放，颗粒物排放浓度、排放速率须符合《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排放限值。无组织废气主要为造纸车间逸散粉尘，主要污染物为颗粒物；纸机干燥部湿热气体，主要为水蒸气。纸机干燥部湿热气体经造纸机设备自带集气罩收集，由轴流风机抽出车间，经屋顶排气装置直接排空。厂界处颗粒物浓度须符合《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表2限值。</w:t>
      </w:r>
    </w:p>
    <w:p>
      <w:pPr>
        <w:keepNext w:val="0"/>
        <w:keepLines w:val="0"/>
        <w:pageBreakBefore w:val="0"/>
        <w:kinsoku/>
        <w:wordWrap/>
        <w:overflowPunct/>
        <w:topLinePunct w:val="0"/>
        <w:bidi w:val="0"/>
        <w:ind w:left="0" w:firstLine="480" w:firstLineChars="200"/>
      </w:pPr>
      <w:r>
        <w:rPr>
          <w:rFonts w:hint="eastAsia"/>
        </w:rPr>
        <w:t>有组织废气：根据以上数据，本项目</w:t>
      </w:r>
      <w:r>
        <w:rPr>
          <w:rFonts w:cs="Times New Roman"/>
        </w:rPr>
        <w:t>有组织排放的</w:t>
      </w:r>
      <w:r>
        <w:rPr>
          <w:rFonts w:hint="eastAsia" w:cs="Times New Roman"/>
          <w:lang w:val="en-US" w:eastAsia="zh-CN"/>
        </w:rPr>
        <w:t>颗粒物浓度最大值为</w:t>
      </w:r>
      <w:r>
        <w:rPr>
          <w:rFonts w:hint="eastAsia" w:cs="Times New Roman"/>
          <w:sz w:val="24"/>
          <w:szCs w:val="24"/>
          <w:lang w:val="en-US" w:eastAsia="zh-CN"/>
        </w:rPr>
        <w:t>5.5</w:t>
      </w:r>
      <w:r>
        <w:rPr>
          <w:rFonts w:hint="eastAsia" w:ascii="Times New Roman" w:hAnsi="Times New Roman" w:eastAsia="宋体" w:cs="Times New Roman"/>
          <w:sz w:val="24"/>
          <w:szCs w:val="24"/>
          <w:lang w:eastAsia="zh-CN"/>
        </w:rPr>
        <w:t>mg/m</w:t>
      </w:r>
      <w:r>
        <w:rPr>
          <w:rFonts w:hint="eastAsia" w:ascii="Times New Roman" w:hAnsi="Times New Roman" w:eastAsia="宋体" w:cs="Times New Roman"/>
          <w:sz w:val="24"/>
          <w:szCs w:val="24"/>
          <w:vertAlign w:val="superscript"/>
          <w:lang w:val="en-US" w:eastAsia="zh-CN"/>
        </w:rPr>
        <w:t>3</w:t>
      </w:r>
      <w:r>
        <w:rPr>
          <w:rFonts w:cs="Times New Roman"/>
        </w:rPr>
        <w:t>可满足</w:t>
      </w:r>
      <w:r>
        <w:rPr>
          <w:rFonts w:hint="eastAsia" w:ascii="宋体" w:hAnsi="宋体" w:eastAsia="宋体" w:cs="宋体"/>
        </w:rPr>
        <w:t>《大气污染物综合排放标准》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表2排放</w:t>
      </w:r>
      <w:r>
        <w:rPr>
          <w:rFonts w:cs="Times New Roman"/>
        </w:rPr>
        <w:t>限值</w:t>
      </w:r>
      <w:r>
        <w:rPr>
          <w:rFonts w:hint="eastAsia" w:cs="Times New Roman"/>
          <w:lang w:eastAsia="zh-CN"/>
        </w:rPr>
        <w:t>（</w:t>
      </w:r>
      <w:r>
        <w:rPr>
          <w:rFonts w:hint="eastAsia" w:cs="Times New Roman"/>
          <w:lang w:val="en-US" w:eastAsia="zh-CN"/>
        </w:rPr>
        <w:t>120</w:t>
      </w:r>
      <w:r>
        <w:rPr>
          <w:rFonts w:cs="Times New Roman"/>
        </w:rPr>
        <w:t>mg/</w:t>
      </w:r>
      <w:r>
        <w:rPr>
          <w:rFonts w:hint="eastAsia" w:cs="Times New Roman"/>
          <w:lang w:eastAsia="zh-CN"/>
        </w:rPr>
        <w:t>m</w:t>
      </w:r>
      <w:r>
        <w:rPr>
          <w:rFonts w:hint="eastAsia" w:cs="Times New Roman"/>
          <w:vertAlign w:val="superscript"/>
          <w:lang w:eastAsia="zh-CN"/>
        </w:rPr>
        <w:t>3</w:t>
      </w:r>
      <w:r>
        <w:rPr>
          <w:rFonts w:cs="Times New Roman"/>
        </w:rPr>
        <w:t>）要求</w:t>
      </w:r>
      <w:r>
        <w:rPr>
          <w:rFonts w:hint="eastAsia" w:cs="Times New Roman"/>
        </w:rPr>
        <w:t>。</w:t>
      </w:r>
    </w:p>
    <w:p>
      <w:pPr>
        <w:keepNext w:val="0"/>
        <w:keepLines w:val="0"/>
        <w:pageBreakBefore w:val="0"/>
        <w:kinsoku/>
        <w:wordWrap/>
        <w:overflowPunct/>
        <w:topLinePunct w:val="0"/>
        <w:bidi w:val="0"/>
        <w:ind w:left="0" w:firstLine="480" w:firstLineChars="200"/>
      </w:pPr>
      <w:r>
        <w:rPr>
          <w:rFonts w:hint="eastAsia"/>
        </w:rPr>
        <w:t>无组织废气：验收监测结果显示，项目区厂界四周</w:t>
      </w:r>
      <w:r>
        <w:rPr>
          <w:rFonts w:hint="eastAsia" w:ascii="Times New Roman" w:hAnsi="Times New Roman" w:eastAsia="宋体" w:cs="Times New Roman"/>
          <w:sz w:val="24"/>
          <w:szCs w:val="24"/>
          <w:lang w:val="en-US" w:eastAsia="zh-CN"/>
        </w:rPr>
        <w:t>企业边界</w:t>
      </w:r>
      <w:r>
        <w:rPr>
          <w:rFonts w:hint="eastAsia" w:ascii="Times New Roman" w:hAnsi="Times New Roman" w:eastAsia="宋体" w:cs="Times New Roman"/>
          <w:sz w:val="24"/>
          <w:szCs w:val="24"/>
          <w:lang w:eastAsia="zh-CN"/>
        </w:rPr>
        <w:t>无组织颗粒物</w:t>
      </w:r>
      <w:r>
        <w:rPr>
          <w:rFonts w:hint="eastAsia" w:ascii="Times New Roman" w:hAnsi="Times New Roman" w:eastAsia="宋体" w:cs="Times New Roman"/>
          <w:sz w:val="24"/>
          <w:szCs w:val="24"/>
          <w:lang w:val="en-US" w:eastAsia="zh-CN"/>
        </w:rPr>
        <w:t>排放浓度最大值分别为0.2</w:t>
      </w:r>
      <w:r>
        <w:rPr>
          <w:rFonts w:hint="eastAsia" w:cs="Times New Roman"/>
          <w:sz w:val="24"/>
          <w:szCs w:val="24"/>
          <w:lang w:val="en-US" w:eastAsia="zh-CN"/>
        </w:rPr>
        <w:t>35</w:t>
      </w:r>
      <w:r>
        <w:rPr>
          <w:rFonts w:hint="eastAsia" w:ascii="Times New Roman" w:hAnsi="Times New Roman" w:eastAsia="宋体" w:cs="Times New Roman"/>
          <w:sz w:val="24"/>
          <w:szCs w:val="24"/>
          <w:lang w:eastAsia="zh-CN"/>
        </w:rPr>
        <w:t>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eastAsia="zh-CN"/>
        </w:rPr>
        <w:t>满足</w:t>
      </w:r>
      <w:r>
        <w:rPr>
          <w:rFonts w:hint="eastAsia" w:ascii="宋体" w:hAnsi="宋体" w:eastAsia="宋体" w:cs="宋体"/>
        </w:rPr>
        <w:t>《大气污染物综合排放标准》</w:t>
      </w:r>
      <w:r>
        <w:rPr>
          <w:rFonts w:hint="eastAsia" w:ascii="宋体" w:hAnsi="宋体" w:cs="宋体"/>
          <w:lang w:eastAsia="zh-CN"/>
        </w:rPr>
        <w:t>（</w:t>
      </w:r>
      <w:r>
        <w:rPr>
          <w:rFonts w:hint="eastAsia" w:ascii="宋体" w:hAnsi="宋体" w:eastAsia="宋体" w:cs="宋体"/>
        </w:rPr>
        <w:t>GB16297-1996</w:t>
      </w:r>
      <w:r>
        <w:rPr>
          <w:rFonts w:hint="eastAsia" w:ascii="宋体" w:hAnsi="宋体" w:eastAsia="宋体" w:cs="宋体"/>
          <w:lang w:eastAsia="zh-CN"/>
        </w:rPr>
        <w:t>）</w:t>
      </w:r>
      <w:r>
        <w:rPr>
          <w:rFonts w:hint="eastAsia" w:ascii="宋体" w:hAnsi="宋体" w:eastAsia="宋体" w:cs="宋体"/>
        </w:rPr>
        <w:t>表2</w:t>
      </w:r>
      <w:r>
        <w:rPr>
          <w:rFonts w:cs="Times New Roman"/>
        </w:rPr>
        <w:t>颗粒物浓度限值</w:t>
      </w:r>
      <w:r>
        <w:rPr>
          <w:rFonts w:hint="eastAsia" w:cs="Times New Roman"/>
          <w:lang w:eastAsia="zh-CN"/>
        </w:rPr>
        <w:t>（</w:t>
      </w:r>
      <w:r>
        <w:rPr>
          <w:rFonts w:cs="Times New Roman"/>
        </w:rPr>
        <w:t>1.0mg/</w:t>
      </w:r>
      <w:r>
        <w:rPr>
          <w:rFonts w:hint="eastAsia" w:cs="Times New Roman"/>
          <w:lang w:eastAsia="zh-CN"/>
        </w:rPr>
        <w:t>m</w:t>
      </w:r>
      <w:r>
        <w:rPr>
          <w:rFonts w:hint="eastAsia" w:cs="Times New Roman"/>
          <w:vertAlign w:val="superscript"/>
          <w:lang w:eastAsia="zh-CN"/>
        </w:rPr>
        <w:t>3</w:t>
      </w:r>
      <w:r>
        <w:rPr>
          <w:rFonts w:cs="Times New Roman"/>
        </w:rPr>
        <w:t>）要求。</w:t>
      </w:r>
    </w:p>
    <w:bookmarkEnd w:id="180"/>
    <w:p>
      <w:pPr>
        <w:keepNext w:val="0"/>
        <w:keepLines w:val="0"/>
        <w:pageBreakBefore w:val="0"/>
        <w:kinsoku/>
        <w:wordWrap/>
        <w:overflowPunct/>
        <w:topLinePunct w:val="0"/>
        <w:bidi w:val="0"/>
        <w:ind w:firstLine="480"/>
        <w:rPr>
          <w:rFonts w:cs="Times New Roman"/>
          <w:szCs w:val="24"/>
        </w:rPr>
      </w:pPr>
      <w:r>
        <w:rPr>
          <w:rFonts w:hint="eastAsia" w:cs="Times New Roman"/>
          <w:szCs w:val="24"/>
        </w:rPr>
        <w:t>2、噪声验收监测结论</w:t>
      </w:r>
    </w:p>
    <w:p>
      <w:pPr>
        <w:keepNext w:val="0"/>
        <w:keepLines w:val="0"/>
        <w:pageBreakBefore w:val="0"/>
        <w:kinsoku/>
        <w:wordWrap/>
        <w:overflowPunct/>
        <w:topLinePunct w:val="0"/>
        <w:bidi w:val="0"/>
        <w:ind w:firstLine="480"/>
        <w:rPr>
          <w:rFonts w:cs="Times New Roman"/>
          <w:szCs w:val="24"/>
        </w:rPr>
      </w:pPr>
      <w:r>
        <w:rPr>
          <w:rFonts w:hint="eastAsia" w:cs="Times New Roman"/>
          <w:szCs w:val="24"/>
        </w:rPr>
        <w:t>验收监测期间，企业厂界东侧、南侧、西侧、北侧监控点昼间厂界噪声</w:t>
      </w:r>
      <w:r>
        <w:rPr>
          <w:rFonts w:hint="eastAsia" w:ascii="Times New Roman" w:hAnsi="Times New Roman" w:eastAsia="宋体" w:cs="Times New Roman"/>
          <w:sz w:val="24"/>
          <w:szCs w:val="24"/>
          <w:lang w:eastAsia="zh-CN"/>
        </w:rPr>
        <w:t>厂界昼、夜间噪声最大值为</w:t>
      </w:r>
      <w:r>
        <w:rPr>
          <w:rFonts w:hint="eastAsia" w:ascii="Times New Roman" w:hAnsi="Times New Roman" w:eastAsia="宋体" w:cs="Times New Roman"/>
          <w:sz w:val="24"/>
          <w:szCs w:val="24"/>
          <w:lang w:val="en-US" w:eastAsia="zh-CN"/>
        </w:rPr>
        <w:t>47.2~51.2dB</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eastAsia="zh-CN"/>
        </w:rPr>
        <w:t>，夜间厂界噪声最大值为</w:t>
      </w:r>
      <w:r>
        <w:rPr>
          <w:rFonts w:hint="eastAsia" w:ascii="Times New Roman" w:hAnsi="Times New Roman" w:eastAsia="宋体" w:cs="Times New Roman"/>
          <w:sz w:val="24"/>
          <w:szCs w:val="24"/>
          <w:lang w:val="en-US" w:eastAsia="zh-CN"/>
        </w:rPr>
        <w:t>44.3~46.8dB</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A）</w:t>
      </w:r>
      <w:r>
        <w:rPr>
          <w:rFonts w:hint="eastAsia" w:cs="Times New Roman"/>
          <w:szCs w:val="24"/>
        </w:rPr>
        <w:t>，符合《工业企业厂界环境噪声排放标准》</w:t>
      </w:r>
      <w:r>
        <w:rPr>
          <w:rFonts w:hint="eastAsia" w:cs="Times New Roman"/>
          <w:szCs w:val="24"/>
          <w:lang w:eastAsia="zh-CN"/>
        </w:rPr>
        <w:t>（</w:t>
      </w:r>
      <w:r>
        <w:rPr>
          <w:rFonts w:hint="eastAsia" w:cs="Times New Roman"/>
          <w:szCs w:val="24"/>
        </w:rPr>
        <w:t>GB12348-2008）表1中3类标准限值要求。</w:t>
      </w:r>
    </w:p>
    <w:p>
      <w:pPr>
        <w:keepNext w:val="0"/>
        <w:keepLines w:val="0"/>
        <w:pageBreakBefore w:val="0"/>
        <w:kinsoku/>
        <w:wordWrap/>
        <w:overflowPunct/>
        <w:topLinePunct w:val="0"/>
        <w:bidi w:val="0"/>
        <w:ind w:firstLine="480"/>
        <w:rPr>
          <w:rFonts w:cs="Times New Roman"/>
          <w:szCs w:val="24"/>
        </w:rPr>
      </w:pPr>
      <w:r>
        <w:rPr>
          <w:rFonts w:hint="eastAsia" w:cs="Times New Roman"/>
          <w:szCs w:val="24"/>
        </w:rPr>
        <w:t>3、</w:t>
      </w:r>
      <w:r>
        <w:rPr>
          <w:rFonts w:cs="Times New Roman"/>
          <w:szCs w:val="24"/>
        </w:rPr>
        <w:t>危险废物处置措施</w:t>
      </w:r>
    </w:p>
    <w:p>
      <w:pPr>
        <w:ind w:firstLine="480"/>
      </w:pPr>
      <w:r>
        <w:rPr>
          <w:rFonts w:hint="eastAsia" w:cs="Times New Roman"/>
        </w:rPr>
        <w:t>本项目运营期危险废物包括废润滑油及润滑油、液压油废包装桶，暂存于厂内现有危险废物暂存库，</w:t>
      </w:r>
      <w:r>
        <w:rPr>
          <w:rFonts w:cs="Times New Roman"/>
        </w:rPr>
        <w:t>委托</w:t>
      </w:r>
      <w:r>
        <w:rPr>
          <w:rFonts w:hint="eastAsia" w:cs="Times New Roman"/>
          <w:lang w:val="en-US" w:eastAsia="zh-CN"/>
        </w:rPr>
        <w:t>巴州联合环境治理有限公司转运</w:t>
      </w:r>
      <w:r>
        <w:rPr>
          <w:rFonts w:cs="Times New Roman"/>
        </w:rPr>
        <w:t>处理</w:t>
      </w:r>
      <w:r>
        <w:rPr>
          <w:rFonts w:hint="eastAsia" w:cs="Times New Roman"/>
        </w:rPr>
        <w:t>，</w:t>
      </w:r>
      <w:r>
        <w:rPr>
          <w:rFonts w:cs="Times New Roman"/>
          <w:szCs w:val="24"/>
        </w:rPr>
        <w:t>不会对周围环境产生明显影响。</w:t>
      </w:r>
    </w:p>
    <w:p>
      <w:pPr>
        <w:pStyle w:val="3"/>
      </w:pPr>
      <w:bookmarkStart w:id="181" w:name="_Toc24533"/>
      <w:bookmarkStart w:id="182" w:name="_Toc18915048"/>
      <w:bookmarkStart w:id="183" w:name="_Toc29398"/>
      <w:r>
        <w:rPr>
          <w:rFonts w:hint="eastAsia"/>
        </w:rPr>
        <w:t>1</w:t>
      </w:r>
      <w:r>
        <w:t>0.</w:t>
      </w:r>
      <w:r>
        <w:rPr>
          <w:rFonts w:hint="eastAsia"/>
        </w:rPr>
        <w:t>2总体结论</w:t>
      </w:r>
      <w:bookmarkEnd w:id="181"/>
      <w:bookmarkEnd w:id="182"/>
      <w:bookmarkEnd w:id="183"/>
    </w:p>
    <w:p>
      <w:pPr>
        <w:ind w:firstLine="480"/>
      </w:pPr>
      <w:r>
        <w:rPr>
          <w:rFonts w:hint="eastAsia"/>
        </w:rPr>
        <w:t>该项目按照环评要求建设，严格执行</w:t>
      </w:r>
      <w:r>
        <w:rPr>
          <w:rFonts w:hint="eastAsia"/>
          <w:lang w:eastAsia="zh-CN"/>
        </w:rPr>
        <w:t>“</w:t>
      </w:r>
      <w:r>
        <w:rPr>
          <w:rFonts w:hint="eastAsia"/>
        </w:rPr>
        <w:t>三同时</w:t>
      </w:r>
      <w:r>
        <w:rPr>
          <w:rFonts w:hint="eastAsia"/>
          <w:lang w:eastAsia="zh-CN"/>
        </w:rPr>
        <w:t>”</w:t>
      </w:r>
      <w:r>
        <w:rPr>
          <w:rFonts w:hint="eastAsia"/>
        </w:rPr>
        <w:t>制度。验收监测期间，经现场检查和采样监测，该项目废气、厂界噪声监测结果符合相应标准限值的要求，固体废物均得到妥善处理。环评批复的要求基本落实，环境保护设施管理基本到位，该建设项目基本达到竣工环境保护验收条件。</w:t>
      </w:r>
    </w:p>
    <w:p>
      <w:pPr>
        <w:pStyle w:val="3"/>
      </w:pPr>
      <w:bookmarkStart w:id="184" w:name="_Toc20606"/>
      <w:bookmarkStart w:id="185" w:name="_Toc18915049"/>
      <w:bookmarkStart w:id="186" w:name="_Toc2932"/>
      <w:r>
        <w:rPr>
          <w:rFonts w:hint="eastAsia"/>
        </w:rPr>
        <w:t>1</w:t>
      </w:r>
      <w:r>
        <w:t>0.</w:t>
      </w:r>
      <w:r>
        <w:rPr>
          <w:rFonts w:hint="eastAsia"/>
        </w:rPr>
        <w:t>3建议</w:t>
      </w:r>
      <w:bookmarkEnd w:id="184"/>
      <w:bookmarkEnd w:id="185"/>
      <w:bookmarkEnd w:id="186"/>
    </w:p>
    <w:p>
      <w:pPr>
        <w:ind w:firstLine="480"/>
        <w:rPr>
          <w:rFonts w:cs="Times New Roman"/>
        </w:rPr>
      </w:pPr>
      <w:r>
        <w:rPr>
          <w:rFonts w:hint="eastAsia" w:cs="Times New Roman"/>
        </w:rPr>
        <w:t>1、</w:t>
      </w:r>
      <w:r>
        <w:rPr>
          <w:rFonts w:cs="Times New Roman"/>
        </w:rPr>
        <w:t>确保落实各项环保措施，加强环境管理，以保证污染防治达到预期效果。</w:t>
      </w:r>
    </w:p>
    <w:p>
      <w:pPr>
        <w:pStyle w:val="43"/>
        <w:ind w:firstLine="480"/>
        <w:rPr>
          <w:rFonts w:cs="Times New Roman"/>
        </w:rPr>
      </w:pPr>
      <w:r>
        <w:rPr>
          <w:rFonts w:hint="eastAsia" w:cs="Times New Roman"/>
          <w:lang w:val="en-US"/>
        </w:rPr>
        <w:t>2、</w:t>
      </w:r>
      <w:r>
        <w:rPr>
          <w:rFonts w:cs="Times New Roman"/>
        </w:rPr>
        <w:t>应保持良好的通风环境，以便操作工人有良好的工作环境，发给作业人员适用、有效的防护用品，如面罩、手套、工作服等。</w:t>
      </w:r>
    </w:p>
    <w:p>
      <w:pPr>
        <w:pStyle w:val="43"/>
        <w:ind w:firstLine="480"/>
        <w:rPr>
          <w:rFonts w:cs="Times New Roman"/>
        </w:rPr>
      </w:pPr>
      <w:r>
        <w:rPr>
          <w:rFonts w:hint="eastAsia" w:cs="Times New Roman"/>
          <w:lang w:val="en-US"/>
        </w:rPr>
        <w:t>3、</w:t>
      </w:r>
      <w:r>
        <w:rPr>
          <w:rFonts w:cs="Times New Roman"/>
        </w:rPr>
        <w:t>加强管理，强化企业职工自身的环保意识和事故风险意识。</w:t>
      </w:r>
    </w:p>
    <w:p>
      <w:pPr>
        <w:pStyle w:val="43"/>
        <w:ind w:firstLine="480"/>
        <w:rPr>
          <w:rFonts w:cs="Times New Roman"/>
        </w:rPr>
      </w:pPr>
      <w:r>
        <w:rPr>
          <w:rFonts w:hint="eastAsia" w:cs="Times New Roman"/>
          <w:lang w:val="en-US"/>
        </w:rPr>
        <w:t>4、</w:t>
      </w:r>
      <w:r>
        <w:rPr>
          <w:rFonts w:cs="Times New Roman"/>
        </w:rPr>
        <w:t>各种固体废弃物要分类收集储存，及时清运处理。</w:t>
      </w:r>
    </w:p>
    <w:p>
      <w:pPr>
        <w:pStyle w:val="43"/>
        <w:tabs>
          <w:tab w:val="left" w:pos="7277"/>
        </w:tabs>
        <w:ind w:firstLine="480"/>
        <w:rPr>
          <w:rFonts w:hint="eastAsia" w:eastAsia="宋体" w:cs="Times New Roman"/>
          <w:lang w:val="en-US" w:eastAsia="zh-CN"/>
        </w:rPr>
      </w:pPr>
      <w:r>
        <w:rPr>
          <w:rFonts w:hint="eastAsia" w:cs="Times New Roman"/>
          <w:lang w:val="en-US"/>
        </w:rPr>
        <w:t>5、做好危险废物处置管理工作。</w:t>
      </w:r>
      <w:r>
        <w:rPr>
          <w:rFonts w:hint="eastAsia" w:cs="Times New Roman"/>
          <w:lang w:val="en-US" w:eastAsia="zh-CN"/>
        </w:rPr>
        <w:tab/>
      </w:r>
    </w:p>
    <w:p>
      <w:pPr>
        <w:pStyle w:val="43"/>
        <w:ind w:firstLine="480"/>
        <w:rPr>
          <w:rFonts w:cs="Times New Roman"/>
          <w:lang w:val="en-US"/>
        </w:rPr>
      </w:pPr>
      <w:r>
        <w:rPr>
          <w:rFonts w:hint="eastAsia" w:cs="Times New Roman"/>
          <w:lang w:val="en-US"/>
        </w:rPr>
        <w:t>6、</w:t>
      </w:r>
      <w:r>
        <w:rPr>
          <w:rFonts w:cs="Times New Roman"/>
          <w:lang w:val="en-US"/>
        </w:rPr>
        <w:t>加强设备维护和保养，确保各项环保设施的正常运转。</w:t>
      </w:r>
    </w:p>
    <w:p>
      <w:pPr>
        <w:pStyle w:val="43"/>
        <w:ind w:firstLine="480"/>
        <w:rPr>
          <w:rFonts w:cs="Times New Roman"/>
          <w:lang w:val="en-US"/>
        </w:rPr>
      </w:pPr>
      <w:r>
        <w:rPr>
          <w:rFonts w:hint="eastAsia" w:cs="Times New Roman"/>
          <w:lang w:val="en-US"/>
        </w:rPr>
        <w:t>7、</w:t>
      </w:r>
      <w:r>
        <w:rPr>
          <w:rFonts w:cs="Times New Roman"/>
          <w:lang w:val="en-US"/>
        </w:rPr>
        <w:t>加强厂区绿化工作，种植绿化林带。</w:t>
      </w:r>
      <w:bookmarkEnd w:id="127"/>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pPr>
    </w:p>
    <w:p>
      <w:pPr>
        <w:pStyle w:val="43"/>
        <w:ind w:firstLine="480"/>
        <w:rPr>
          <w:rFonts w:cs="Times New Roman"/>
          <w:lang w:val="en-US"/>
        </w:rPr>
        <w:sectPr>
          <w:pgSz w:w="11906" w:h="16838"/>
          <w:pgMar w:top="1418" w:right="1588" w:bottom="1418" w:left="1418" w:header="851" w:footer="992" w:gutter="0"/>
          <w:pgNumType w:fmt="decimal"/>
          <w:cols w:space="425" w:num="1"/>
          <w:docGrid w:type="lines" w:linePitch="326" w:charSpace="0"/>
        </w:sectPr>
      </w:pPr>
    </w:p>
    <w:p>
      <w:pPr>
        <w:jc w:val="center"/>
        <w:rPr>
          <w:rFonts w:hint="default" w:ascii="Times New Roman" w:hAnsi="Times New Roman" w:eastAsia="宋体" w:cs="Times New Roman"/>
          <w:b/>
          <w:bCs/>
          <w:sz w:val="24"/>
          <w:highlight w:val="none"/>
        </w:rPr>
      </w:pPr>
      <w:r>
        <w:rPr>
          <w:rFonts w:hint="default" w:ascii="Times New Roman" w:hAnsi="Times New Roman" w:eastAsia="宋体" w:cs="Times New Roman"/>
          <w:sz w:val="24"/>
          <w:highlight w:val="none"/>
        </w:rPr>
        <mc:AlternateContent>
          <mc:Choice Requires="wps">
            <w:drawing>
              <wp:anchor distT="0" distB="0" distL="114300" distR="114300" simplePos="0" relativeHeight="251660288" behindDoc="0" locked="0" layoutInCell="1" allowOverlap="1">
                <wp:simplePos x="0" y="0"/>
                <wp:positionH relativeFrom="column">
                  <wp:posOffset>1570990</wp:posOffset>
                </wp:positionH>
                <wp:positionV relativeFrom="paragraph">
                  <wp:posOffset>7420610</wp:posOffset>
                </wp:positionV>
                <wp:extent cx="3056255" cy="340995"/>
                <wp:effectExtent l="6350" t="6350" r="23495" b="14605"/>
                <wp:wrapNone/>
                <wp:docPr id="56" name="矩形 56"/>
                <wp:cNvGraphicFramePr/>
                <a:graphic xmlns:a="http://schemas.openxmlformats.org/drawingml/2006/main">
                  <a:graphicData uri="http://schemas.microsoft.com/office/word/2010/wordprocessingShape">
                    <wps:wsp>
                      <wps:cNvSpPr/>
                      <wps:spPr>
                        <a:xfrm>
                          <a:off x="2228215" y="8744585"/>
                          <a:ext cx="305625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现场监测图</w:t>
                            </w:r>
                          </w:p>
                          <w:p>
                            <w:pPr>
                              <w:pStyle w:val="53"/>
                              <w:rPr>
                                <w:rFonts w:hint="eastAsia"/>
                                <w:color w:val="000000" w:themeColor="text1"/>
                                <w:lang w:eastAsia="zh-CN"/>
                                <w14:textFill>
                                  <w14:solidFill>
                                    <w14:schemeClr w14:val="tx1"/>
                                  </w14:solidFill>
                                </w14:textFill>
                              </w:rPr>
                            </w:pPr>
                          </w:p>
                          <w:p>
                            <w:pPr>
                              <w:pStyle w:val="53"/>
                              <w:rPr>
                                <w:rFonts w:hint="eastAsia"/>
                                <w:color w:val="000000" w:themeColor="text1"/>
                                <w:lang w:eastAsia="zh-CN"/>
                                <w14:textFill>
                                  <w14:solidFill>
                                    <w14:schemeClr w14:val="tx1"/>
                                  </w14:solidFill>
                                </w14:textFill>
                              </w:rPr>
                            </w:pPr>
                          </w:p>
                          <w:p>
                            <w:pPr>
                              <w:pStyle w:val="53"/>
                              <w:rPr>
                                <w:rFonts w:hint="eastAsia"/>
                                <w:color w:val="000000" w:themeColor="text1"/>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7pt;margin-top:584.3pt;height:26.85pt;width:240.65pt;z-index:251660288;v-text-anchor:middle;mso-width-relative:page;mso-height-relative:page;" fillcolor="#FFFFFF [3212]" filled="t" stroked="t" coordsize="21600,21600" o:gfxdata="UEsDBAoAAAAAAIdO4kAAAAAAAAAAAAAAAAAEAAAAZHJzL1BLAwQUAAAACACHTuJAswb8etoAAAAN&#10;AQAADwAAAGRycy9kb3ducmV2LnhtbE2PwU7DMAyG70i8Q2Qkbixt2NqqNN2BCU6ARJk4Z41pC01S&#10;JVnXvT3mxI72/+n352q7mJHN6MPgrIR0lQBD2zo92E7C/uPprgAWorJajc6ihDMG2NbXV5UqtTvZ&#10;d5yb2DEqsaFUEvoYp5Lz0PZoVFi5CS1lX84bFWn0HddenajcjFwkScaNGixd6NWEjz22P83RSPDP&#10;y2Zo9/Pu7Xt3Lj6bOb4sm1cpb2/S5AFYxCX+w/CnT+pQk9PBHa0ObJQg1vmaUArSrMiAEZKLIgd2&#10;oJUQ4h54XfHLL+pfUEsDBBQAAAAIAIdO4kAZARy7gQIAAA0FAAAOAAAAZHJzL2Uyb0RvYy54bWyt&#10;VEtu2zAQ3RfoHQjuG8mKnThG5MCI4aJA0AZIi65pirII8FeS/qSXKdBdD9HjFL1GHynl2y6yqBbU&#10;jOZpPm9meH5x0IrshA/SmpqOjkpKhOG2kWZT008fV2+mlITITMOUNaKmtyLQi/nrV+d7NxOV7axq&#10;hCdwYsJs72raxehmRRF4JzQLR9YJA2NrvWYRqt8UjWd7eNeqqMrypNhb3zhvuQgBX5e9kQ4e/Usc&#10;2raVXCwt32phYu/VC8UiSgqddIHOc7ZtK3j80LZBRKJqikpjPhEE8jqdxfyczTaeuU7yIQX2khSe&#10;1aSZNAh672rJIiNbL/9ypSX3Ntg2HnGri76QzAiqGJXPuLnpmBO5FlAd3D3p4f+55e93157IpqaT&#10;E0oM0+j4728/fv38TvAB7OxdmAF04679oAWIqdRD63V6owhyqGlVVdNqNKHktqbT0/F4Mp307IpD&#10;JByA43JyUk0A4EAcj8uzswwoHjw5H+JbYTVJQk09updJZburEBEd0DtIChysks1KKpUVv1lfKk92&#10;DJ1e5SeFxy9PYMqQPaa+Oi0xAZxhflvMDUTtwEEwG0qY2mAxePQ59pO/w8uCpCSXLHR9MtlDT4WW&#10;EbujpAZFZXqGFJVBponpntskxcP6MBC+ts0tmuRtP73B8ZVEhCsW4jXzGFeUgoWOH3C0yqI+O0iU&#10;dNZ//df3hMcUwUrJHuOP2r9smReUqHcG83U2Go/TvmRlPDmtoPjHlvVji9nqSwveR7g6HM9iwkd1&#10;J7be6s/Y+0WKChMzHLF7lgflMvZriZuDi8Uiw7AjjsUrc+N4cp76bOxiG20r8zwkonp2Bv6wJbnn&#10;w0anNXysZ9TDLTb/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MG/HraAAAADQEAAA8AAAAAAAAA&#10;AQAgAAAAIgAAAGRycy9kb3ducmV2LnhtbFBLAQIUABQAAAAIAIdO4kAZARy7gQIAAA0FAAAOAAAA&#10;AAAAAAEAIAAAACkBAABkcnMvZTJvRG9jLnhtbFBLBQYAAAAABgAGAFkBAAAcBgAAAAA=&#10;">
                <v:fill on="t" focussize="0,0"/>
                <v:stroke weight="1pt" color="#FFFFFF [3212]"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现场监测图</w:t>
                      </w:r>
                    </w:p>
                    <w:p>
                      <w:pPr>
                        <w:pStyle w:val="53"/>
                        <w:rPr>
                          <w:rFonts w:hint="eastAsia"/>
                          <w:color w:val="000000" w:themeColor="text1"/>
                          <w:lang w:eastAsia="zh-CN"/>
                          <w14:textFill>
                            <w14:solidFill>
                              <w14:schemeClr w14:val="tx1"/>
                            </w14:solidFill>
                          </w14:textFill>
                        </w:rPr>
                      </w:pPr>
                    </w:p>
                    <w:p>
                      <w:pPr>
                        <w:pStyle w:val="53"/>
                        <w:rPr>
                          <w:rFonts w:hint="eastAsia"/>
                          <w:color w:val="000000" w:themeColor="text1"/>
                          <w:lang w:eastAsia="zh-CN"/>
                          <w14:textFill>
                            <w14:solidFill>
                              <w14:schemeClr w14:val="tx1"/>
                            </w14:solidFill>
                          </w14:textFill>
                        </w:rPr>
                      </w:pPr>
                    </w:p>
                    <w:p>
                      <w:pPr>
                        <w:pStyle w:val="53"/>
                        <w:rPr>
                          <w:rFonts w:hint="eastAsia"/>
                          <w:color w:val="000000" w:themeColor="text1"/>
                          <w:lang w:eastAsia="zh-CN"/>
                          <w14:textFill>
                            <w14:solidFill>
                              <w14:schemeClr w14:val="tx1"/>
                            </w14:solidFill>
                          </w14:textFill>
                        </w:rPr>
                      </w:pPr>
                    </w:p>
                  </w:txbxContent>
                </v:textbox>
              </v:rect>
            </w:pict>
          </mc:Fallback>
        </mc:AlternateContent>
      </w:r>
      <w:r>
        <w:rPr>
          <w:rFonts w:hint="default" w:ascii="Times New Roman" w:hAnsi="Times New Roman" w:eastAsia="宋体" w:cs="Times New Roman"/>
          <w:b/>
          <w:sz w:val="24"/>
          <w:highlight w:val="none"/>
        </w:rPr>
        <w:t>建设项目工程竣工环境保护</w:t>
      </w:r>
      <w:r>
        <w:rPr>
          <w:rFonts w:hint="eastAsia" w:cs="Times New Roman"/>
          <w:b/>
          <w:sz w:val="24"/>
          <w:highlight w:val="none"/>
          <w:lang w:eastAsia="zh-CN"/>
        </w:rPr>
        <w:t>“</w:t>
      </w:r>
      <w:r>
        <w:rPr>
          <w:rFonts w:hint="default" w:ascii="Times New Roman" w:hAnsi="Times New Roman" w:eastAsia="宋体" w:cs="Times New Roman"/>
          <w:b/>
          <w:sz w:val="24"/>
          <w:highlight w:val="none"/>
        </w:rPr>
        <w:t>三同时</w:t>
      </w:r>
      <w:r>
        <w:rPr>
          <w:rFonts w:hint="eastAsia" w:cs="Times New Roman"/>
          <w:b/>
          <w:sz w:val="24"/>
          <w:highlight w:val="none"/>
          <w:lang w:eastAsia="zh-CN"/>
        </w:rPr>
        <w:t>”</w:t>
      </w:r>
      <w:r>
        <w:rPr>
          <w:rFonts w:hint="default" w:ascii="Times New Roman" w:hAnsi="Times New Roman" w:eastAsia="宋体" w:cs="Times New Roman"/>
          <w:b/>
          <w:sz w:val="24"/>
          <w:highlight w:val="none"/>
        </w:rPr>
        <w:t>验收登记表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填表单位</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rPr>
        <w:t>盖章）：</w:t>
      </w:r>
      <w:r>
        <w:rPr>
          <w:rFonts w:hint="eastAsia" w:ascii="宋体" w:hAnsi="宋体" w:cs="宋体"/>
          <w:sz w:val="21"/>
          <w:szCs w:val="21"/>
          <w:highlight w:val="none"/>
          <w:lang w:eastAsia="zh-CN"/>
        </w:rPr>
        <w:t>新疆中泰兴苇生物科技有限公司</w:t>
      </w:r>
      <w:r>
        <w:rPr>
          <w:rFonts w:hint="eastAsia" w:ascii="宋体" w:hAnsi="宋体" w:cs="宋体"/>
          <w:sz w:val="21"/>
          <w:szCs w:val="21"/>
          <w:highlight w:val="none"/>
          <w:lang w:val="en-US" w:eastAsia="zh-CN"/>
        </w:rPr>
        <w:t xml:space="preserve">                           </w:t>
      </w:r>
      <w:r>
        <w:rPr>
          <w:rFonts w:hint="default" w:ascii="Times New Roman" w:hAnsi="Times New Roman" w:eastAsia="宋体" w:cs="Times New Roman"/>
          <w:sz w:val="21"/>
          <w:szCs w:val="21"/>
          <w:highlight w:val="none"/>
        </w:rPr>
        <w:t>填表人签字：</w:t>
      </w:r>
      <w:r>
        <w:rPr>
          <w:rFonts w:hint="eastAsia" w:eastAsia="宋体" w:cs="Times New Roman"/>
          <w:sz w:val="21"/>
          <w:szCs w:val="21"/>
          <w:highlight w:val="none"/>
          <w:lang w:val="en-US" w:eastAsia="zh-CN"/>
        </w:rPr>
        <w:t>聂立</w:t>
      </w:r>
      <w:r>
        <w:rPr>
          <w:rFonts w:hint="eastAsia"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项目经办人</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rPr>
        <w:t>签字）：</w:t>
      </w:r>
    </w:p>
    <w:tbl>
      <w:tblPr>
        <w:tblStyle w:val="23"/>
        <w:tblW w:w="15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98"/>
        <w:gridCol w:w="1118"/>
        <w:gridCol w:w="917"/>
        <w:gridCol w:w="747"/>
        <w:gridCol w:w="86"/>
        <w:gridCol w:w="1183"/>
        <w:gridCol w:w="262"/>
        <w:gridCol w:w="669"/>
        <w:gridCol w:w="59"/>
        <w:gridCol w:w="127"/>
        <w:gridCol w:w="668"/>
        <w:gridCol w:w="132"/>
        <w:gridCol w:w="325"/>
        <w:gridCol w:w="289"/>
        <w:gridCol w:w="718"/>
        <w:gridCol w:w="268"/>
        <w:gridCol w:w="882"/>
        <w:gridCol w:w="54"/>
        <w:gridCol w:w="131"/>
        <w:gridCol w:w="500"/>
        <w:gridCol w:w="100"/>
        <w:gridCol w:w="216"/>
        <w:gridCol w:w="88"/>
        <w:gridCol w:w="295"/>
        <w:gridCol w:w="917"/>
        <w:gridCol w:w="162"/>
        <w:gridCol w:w="959"/>
        <w:gridCol w:w="885"/>
        <w:gridCol w:w="396"/>
        <w:gridCol w:w="148"/>
        <w:gridCol w:w="93"/>
        <w:gridCol w:w="568"/>
        <w:gridCol w:w="191"/>
        <w:gridCol w:w="386"/>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8"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建设项目</w:t>
            </w: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项目名称</w:t>
            </w:r>
          </w:p>
        </w:tc>
        <w:tc>
          <w:tcPr>
            <w:tcW w:w="5265" w:type="dxa"/>
            <w:gridSpan w:val="12"/>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新疆中泰兴苇生物科技有限公司日产125吨生活用纸产品升级改造项目</w:t>
            </w:r>
          </w:p>
        </w:tc>
        <w:tc>
          <w:tcPr>
            <w:tcW w:w="1335"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项目代码</w:t>
            </w:r>
          </w:p>
        </w:tc>
        <w:tc>
          <w:tcPr>
            <w:tcW w:w="600"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w:t>
            </w:r>
          </w:p>
        </w:tc>
        <w:tc>
          <w:tcPr>
            <w:tcW w:w="1516"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建设地点</w:t>
            </w:r>
          </w:p>
        </w:tc>
        <w:tc>
          <w:tcPr>
            <w:tcW w:w="4456" w:type="dxa"/>
            <w:gridSpan w:val="1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行业类别</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分类管理名录）</w:t>
            </w:r>
          </w:p>
        </w:tc>
        <w:tc>
          <w:tcPr>
            <w:tcW w:w="5265"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19--037纸浆制造</w:t>
            </w:r>
            <w:r>
              <w:rPr>
                <w:rFonts w:hint="eastAsia" w:ascii="宋体" w:hAnsi="宋体" w:cs="宋体"/>
                <w:color w:val="auto"/>
                <w:sz w:val="18"/>
                <w:szCs w:val="18"/>
                <w:highlight w:val="none"/>
                <w:lang w:val="en-US" w:eastAsia="zh-CN"/>
              </w:rPr>
              <w:t>；</w:t>
            </w:r>
            <w:r>
              <w:rPr>
                <w:rFonts w:hint="default" w:ascii="宋体" w:hAnsi="宋体" w:eastAsia="宋体" w:cs="宋体"/>
                <w:color w:val="auto"/>
                <w:sz w:val="18"/>
                <w:szCs w:val="18"/>
                <w:highlight w:val="none"/>
                <w:lang w:val="en-US" w:eastAsia="zh-CN"/>
              </w:rPr>
              <w:t>造纸</w:t>
            </w:r>
            <w:r>
              <w:rPr>
                <w:rFonts w:hint="eastAsia" w:ascii="宋体" w:hAnsi="宋体" w:cs="宋体"/>
                <w:color w:val="auto"/>
                <w:sz w:val="18"/>
                <w:szCs w:val="18"/>
                <w:highlight w:val="none"/>
                <w:lang w:val="en-US" w:eastAsia="zh-CN"/>
              </w:rPr>
              <w:t>（</w:t>
            </w:r>
            <w:r>
              <w:rPr>
                <w:rFonts w:hint="default" w:ascii="宋体" w:hAnsi="宋体" w:eastAsia="宋体" w:cs="宋体"/>
                <w:color w:val="auto"/>
                <w:sz w:val="18"/>
                <w:szCs w:val="18"/>
                <w:highlight w:val="none"/>
                <w:lang w:val="en-US" w:eastAsia="zh-CN"/>
              </w:rPr>
              <w:t>含废纸造纸</w:t>
            </w:r>
            <w:r>
              <w:rPr>
                <w:rFonts w:hint="eastAsia" w:ascii="宋体" w:hAnsi="宋体" w:cs="宋体"/>
                <w:color w:val="auto"/>
                <w:sz w:val="18"/>
                <w:szCs w:val="18"/>
                <w:highlight w:val="none"/>
                <w:lang w:val="en-US" w:eastAsia="zh-CN"/>
              </w:rPr>
              <w:t>）</w:t>
            </w:r>
          </w:p>
        </w:tc>
        <w:tc>
          <w:tcPr>
            <w:tcW w:w="2151"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建设性质</w:t>
            </w:r>
          </w:p>
        </w:tc>
        <w:tc>
          <w:tcPr>
            <w:tcW w:w="5756" w:type="dxa"/>
            <w:gridSpan w:val="1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eastAsia="zh-CN"/>
                <w14:textFill>
                  <w14:solidFill>
                    <w14:schemeClr w14:val="tx1"/>
                  </w14:solidFill>
                </w14:textFill>
              </w:rPr>
              <w:t>√新建口改扩建口技术改造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设计生产能力</w:t>
            </w:r>
          </w:p>
        </w:tc>
        <w:tc>
          <w:tcPr>
            <w:tcW w:w="3933" w:type="dxa"/>
            <w:gridSpan w:val="9"/>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主要建设日产125吨生活用纸生产设施，产品包括大轴纸、卫生纸卷和抽纸</w:t>
            </w:r>
          </w:p>
        </w:tc>
        <w:tc>
          <w:tcPr>
            <w:tcW w:w="1332"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实际生产能力</w:t>
            </w:r>
          </w:p>
        </w:tc>
        <w:tc>
          <w:tcPr>
            <w:tcW w:w="3613" w:type="dxa"/>
            <w:gridSpan w:val="11"/>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主要建设日产125吨生活用纸生产设施，产品包括大轴纸、卫生纸卷和抽纸</w:t>
            </w:r>
          </w:p>
        </w:tc>
        <w:tc>
          <w:tcPr>
            <w:tcW w:w="9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环评单位</w:t>
            </w:r>
          </w:p>
        </w:tc>
        <w:tc>
          <w:tcPr>
            <w:tcW w:w="3335" w:type="dxa"/>
            <w:gridSpan w:val="8"/>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sz w:val="18"/>
                <w:szCs w:val="18"/>
                <w:highlight w:val="none"/>
                <w:lang w:val="en-US"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新疆</w:t>
            </w:r>
            <w:r>
              <w:rPr>
                <w:rFonts w:hint="eastAsia" w:ascii="宋体" w:hAnsi="宋体" w:cs="宋体"/>
                <w:color w:val="000000" w:themeColor="text1"/>
                <w:sz w:val="18"/>
                <w:szCs w:val="18"/>
                <w:highlight w:val="none"/>
                <w:lang w:val="en-US" w:eastAsia="zh-CN"/>
                <w14:textFill>
                  <w14:solidFill>
                    <w14:schemeClr w14:val="tx1"/>
                  </w14:solidFill>
                </w14:textFill>
              </w:rPr>
              <w:t>化工设计研究院有限责任公司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环评文件审批机关</w:t>
            </w:r>
          </w:p>
        </w:tc>
        <w:tc>
          <w:tcPr>
            <w:tcW w:w="5265" w:type="dxa"/>
            <w:gridSpan w:val="1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新疆维吾尔自治区生态环境厅</w:t>
            </w:r>
          </w:p>
        </w:tc>
        <w:tc>
          <w:tcPr>
            <w:tcW w:w="1150"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审批文号</w:t>
            </w:r>
          </w:p>
        </w:tc>
        <w:tc>
          <w:tcPr>
            <w:tcW w:w="2463" w:type="dxa"/>
            <w:gridSpan w:val="9"/>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新环审</w:t>
            </w:r>
            <w:r>
              <w:rPr>
                <w:rFonts w:hint="eastAsia" w:ascii="宋体" w:hAnsi="宋体" w:eastAsia="宋体" w:cs="宋体"/>
                <w:color w:val="auto"/>
                <w:sz w:val="18"/>
                <w:szCs w:val="18"/>
                <w:highlight w:val="none"/>
                <w:lang w:val="en-US" w:eastAsia="zh-CN"/>
              </w:rPr>
              <w:t>〔2021〕</w:t>
            </w:r>
            <w:r>
              <w:rPr>
                <w:rFonts w:hint="eastAsia" w:ascii="宋体" w:hAnsi="宋体" w:cs="宋体"/>
                <w:color w:val="auto"/>
                <w:sz w:val="18"/>
                <w:szCs w:val="18"/>
                <w:highlight w:val="none"/>
                <w:lang w:val="en-US" w:eastAsia="zh-CN"/>
              </w:rPr>
              <w:t>84</w:t>
            </w:r>
            <w:r>
              <w:rPr>
                <w:rFonts w:hint="eastAsia" w:ascii="宋体" w:hAnsi="宋体" w:eastAsia="宋体" w:cs="宋体"/>
                <w:color w:val="auto"/>
                <w:sz w:val="18"/>
                <w:szCs w:val="18"/>
                <w:highlight w:val="none"/>
                <w:lang w:val="en-US" w:eastAsia="zh-CN"/>
              </w:rPr>
              <w:t>号</w:t>
            </w:r>
          </w:p>
        </w:tc>
        <w:tc>
          <w:tcPr>
            <w:tcW w:w="1844"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环评文件类型</w:t>
            </w:r>
          </w:p>
        </w:tc>
        <w:tc>
          <w:tcPr>
            <w:tcW w:w="2450"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报告</w:t>
            </w:r>
            <w:r>
              <w:rPr>
                <w:rFonts w:hint="eastAsia" w:ascii="宋体" w:hAnsi="宋体" w:eastAsia="宋体" w:cs="宋体"/>
                <w:color w:val="000000" w:themeColor="text1"/>
                <w:sz w:val="18"/>
                <w:szCs w:val="18"/>
                <w:highlight w:val="none"/>
                <w:lang w:val="en-US" w:eastAsia="zh-CN"/>
                <w14:textFill>
                  <w14:solidFill>
                    <w14:schemeClr w14:val="tx1"/>
                  </w14:solidFill>
                </w14:textFill>
              </w:rPr>
              <w:t>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开工日期</w:t>
            </w:r>
          </w:p>
        </w:tc>
        <w:tc>
          <w:tcPr>
            <w:tcW w:w="5265" w:type="dxa"/>
            <w:gridSpan w:val="1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202</w:t>
            </w:r>
            <w:r>
              <w:rPr>
                <w:rFonts w:hint="eastAsia" w:ascii="宋体" w:hAnsi="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年</w:t>
            </w:r>
            <w:r>
              <w:rPr>
                <w:rFonts w:hint="eastAsia" w:ascii="宋体" w:hAnsi="宋体" w:cs="宋体"/>
                <w:color w:val="auto"/>
                <w:sz w:val="18"/>
                <w:szCs w:val="18"/>
                <w:highlight w:val="none"/>
                <w:lang w:val="en-US" w:eastAsia="zh-CN"/>
              </w:rPr>
              <w:t>12</w:t>
            </w:r>
            <w:r>
              <w:rPr>
                <w:rFonts w:hint="eastAsia" w:ascii="宋体" w:hAnsi="宋体" w:eastAsia="宋体" w:cs="宋体"/>
                <w:color w:val="auto"/>
                <w:sz w:val="18"/>
                <w:szCs w:val="18"/>
                <w:highlight w:val="none"/>
                <w:lang w:val="en-US" w:eastAsia="zh-CN"/>
              </w:rPr>
              <w:t>月</w:t>
            </w:r>
            <w:r>
              <w:rPr>
                <w:rFonts w:hint="eastAsia" w:ascii="宋体" w:hAnsi="宋体" w:cs="宋体"/>
                <w:color w:val="auto"/>
                <w:sz w:val="18"/>
                <w:szCs w:val="18"/>
                <w:highlight w:val="none"/>
                <w:lang w:val="en-US" w:eastAsia="zh-CN"/>
              </w:rPr>
              <w:t>8</w:t>
            </w:r>
            <w:r>
              <w:rPr>
                <w:rFonts w:hint="eastAsia" w:ascii="宋体" w:hAnsi="宋体" w:eastAsia="宋体" w:cs="宋体"/>
                <w:color w:val="auto"/>
                <w:sz w:val="18"/>
                <w:szCs w:val="18"/>
                <w:highlight w:val="none"/>
                <w:lang w:val="en-US" w:eastAsia="zh-CN"/>
              </w:rPr>
              <w:t>日</w:t>
            </w:r>
          </w:p>
        </w:tc>
        <w:tc>
          <w:tcPr>
            <w:tcW w:w="1835" w:type="dxa"/>
            <w:gridSpan w:val="5"/>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竣工时间</w:t>
            </w:r>
          </w:p>
        </w:tc>
        <w:tc>
          <w:tcPr>
            <w:tcW w:w="1778" w:type="dxa"/>
            <w:gridSpan w:val="6"/>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202</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lang w:val="en-US" w:eastAsia="zh-CN"/>
              </w:rPr>
              <w:t>年</w:t>
            </w:r>
            <w:r>
              <w:rPr>
                <w:rFonts w:hint="eastAsia" w:ascii="宋体" w:hAnsi="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月</w:t>
            </w:r>
            <w:r>
              <w:rPr>
                <w:rFonts w:hint="eastAsia" w:ascii="宋体" w:hAnsi="宋体" w:cs="宋体"/>
                <w:color w:val="auto"/>
                <w:sz w:val="18"/>
                <w:szCs w:val="18"/>
                <w:highlight w:val="none"/>
                <w:lang w:val="en-US" w:eastAsia="zh-CN"/>
              </w:rPr>
              <w:t>15</w:t>
            </w:r>
            <w:r>
              <w:rPr>
                <w:rFonts w:hint="eastAsia" w:ascii="宋体" w:hAnsi="宋体" w:eastAsia="宋体" w:cs="宋体"/>
                <w:color w:val="auto"/>
                <w:sz w:val="18"/>
                <w:szCs w:val="18"/>
                <w:highlight w:val="none"/>
                <w:lang w:val="en-US" w:eastAsia="zh-CN"/>
              </w:rPr>
              <w:t>日</w:t>
            </w:r>
          </w:p>
        </w:tc>
        <w:tc>
          <w:tcPr>
            <w:tcW w:w="2388"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排污许可证申领时间</w:t>
            </w:r>
          </w:p>
        </w:tc>
        <w:tc>
          <w:tcPr>
            <w:tcW w:w="1906" w:type="dxa"/>
            <w:gridSpan w:val="5"/>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000000" w:themeColor="text1"/>
                <w:sz w:val="18"/>
                <w:szCs w:val="18"/>
                <w:highlight w:val="red"/>
                <w:lang w:val="en-US"/>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正在办理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环保设施设计单位</w:t>
            </w:r>
          </w:p>
        </w:tc>
        <w:tc>
          <w:tcPr>
            <w:tcW w:w="3006" w:type="dxa"/>
            <w:gridSpan w:val="6"/>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2259" w:type="dxa"/>
            <w:gridSpan w:val="6"/>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环保设施施工单位</w:t>
            </w:r>
          </w:p>
        </w:tc>
        <w:tc>
          <w:tcPr>
            <w:tcW w:w="3613" w:type="dxa"/>
            <w:gridSpan w:val="11"/>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1844"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排污许可证编号</w:t>
            </w:r>
          </w:p>
        </w:tc>
        <w:tc>
          <w:tcPr>
            <w:tcW w:w="2450"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验收单位</w:t>
            </w:r>
          </w:p>
        </w:tc>
        <w:tc>
          <w:tcPr>
            <w:tcW w:w="3801" w:type="dxa"/>
            <w:gridSpan w:val="8"/>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新疆中测</w:t>
            </w:r>
            <w:r>
              <w:rPr>
                <w:rFonts w:hint="eastAsia" w:ascii="宋体" w:hAnsi="宋体" w:cs="宋体"/>
                <w:color w:val="auto"/>
                <w:sz w:val="18"/>
                <w:szCs w:val="18"/>
                <w:highlight w:val="none"/>
                <w:lang w:val="en-US" w:eastAsia="zh-CN"/>
              </w:rPr>
              <w:t>环保科技有限公司</w:t>
            </w:r>
          </w:p>
        </w:tc>
        <w:tc>
          <w:tcPr>
            <w:tcW w:w="1732" w:type="dxa"/>
            <w:gridSpan w:val="5"/>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监测单位</w:t>
            </w:r>
          </w:p>
        </w:tc>
        <w:tc>
          <w:tcPr>
            <w:tcW w:w="3345" w:type="dxa"/>
            <w:gridSpan w:val="1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新疆</w:t>
            </w:r>
            <w:r>
              <w:rPr>
                <w:rFonts w:hint="eastAsia" w:ascii="宋体" w:hAnsi="宋体" w:cs="宋体"/>
                <w:color w:val="auto"/>
                <w:sz w:val="18"/>
                <w:szCs w:val="18"/>
                <w:highlight w:val="none"/>
                <w:lang w:val="en-US" w:eastAsia="zh-CN"/>
              </w:rPr>
              <w:t>中测测试有限责任</w:t>
            </w:r>
            <w:r>
              <w:rPr>
                <w:rFonts w:hint="eastAsia" w:ascii="宋体" w:hAnsi="宋体" w:eastAsia="宋体" w:cs="宋体"/>
                <w:color w:val="auto"/>
                <w:sz w:val="18"/>
                <w:szCs w:val="18"/>
                <w:highlight w:val="none"/>
                <w:lang w:eastAsia="zh-CN"/>
              </w:rPr>
              <w:t>公司</w:t>
            </w:r>
          </w:p>
        </w:tc>
        <w:tc>
          <w:tcPr>
            <w:tcW w:w="1844"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eastAsia="zh-CN"/>
                <w14:textFill>
                  <w14:solidFill>
                    <w14:schemeClr w14:val="tx1"/>
                  </w14:solidFill>
                </w14:textFill>
              </w:rPr>
              <w:t>验收监测时工况</w:t>
            </w:r>
          </w:p>
        </w:tc>
        <w:tc>
          <w:tcPr>
            <w:tcW w:w="2450"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工况稳定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投资总额概算</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5265" w:type="dxa"/>
            <w:gridSpan w:val="1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18301</w:t>
            </w:r>
          </w:p>
        </w:tc>
        <w:tc>
          <w:tcPr>
            <w:tcW w:w="2151"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环保投资总概算</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1462"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318</w:t>
            </w:r>
          </w:p>
        </w:tc>
        <w:tc>
          <w:tcPr>
            <w:tcW w:w="1844"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所占比例</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w:t>
            </w:r>
          </w:p>
        </w:tc>
        <w:tc>
          <w:tcPr>
            <w:tcW w:w="2450"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1.74</w:t>
            </w:r>
            <w:r>
              <w:rPr>
                <w:rFonts w:hint="eastAsia" w:ascii="宋体" w:hAnsi="宋体" w:eastAsia="宋体" w:cs="宋体"/>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实际总投资</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5265" w:type="dxa"/>
            <w:gridSpan w:val="1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18301</w:t>
            </w:r>
          </w:p>
        </w:tc>
        <w:tc>
          <w:tcPr>
            <w:tcW w:w="2151"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实际环保投资</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1462"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318</w:t>
            </w:r>
          </w:p>
        </w:tc>
        <w:tc>
          <w:tcPr>
            <w:tcW w:w="1844"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所占比例</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w:t>
            </w:r>
          </w:p>
        </w:tc>
        <w:tc>
          <w:tcPr>
            <w:tcW w:w="2450"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rPr>
              <w:t>1.74</w:t>
            </w:r>
            <w:r>
              <w:rPr>
                <w:rFonts w:hint="eastAsia" w:ascii="宋体" w:hAnsi="宋体" w:eastAsia="宋体" w:cs="宋体"/>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废水治理</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74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235</w:t>
            </w:r>
          </w:p>
        </w:tc>
        <w:tc>
          <w:tcPr>
            <w:tcW w:w="1531"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废气治理</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66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25</w:t>
            </w:r>
          </w:p>
        </w:tc>
        <w:tc>
          <w:tcPr>
            <w:tcW w:w="1600" w:type="dxa"/>
            <w:gridSpan w:val="6"/>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噪声治理</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5</w:t>
            </w:r>
          </w:p>
        </w:tc>
        <w:tc>
          <w:tcPr>
            <w:tcW w:w="2151"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固体废物治理</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1462"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5</w:t>
            </w:r>
          </w:p>
        </w:tc>
        <w:tc>
          <w:tcPr>
            <w:tcW w:w="1844"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绿化及生态</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637"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10</w:t>
            </w:r>
          </w:p>
        </w:tc>
        <w:tc>
          <w:tcPr>
            <w:tcW w:w="1145"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其他</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万元）</w:t>
            </w:r>
          </w:p>
        </w:tc>
        <w:tc>
          <w:tcPr>
            <w:tcW w:w="66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5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233"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新增废水处理能力</w:t>
            </w:r>
          </w:p>
        </w:tc>
        <w:tc>
          <w:tcPr>
            <w:tcW w:w="5265" w:type="dxa"/>
            <w:gridSpan w:val="1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2151"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新增废气处理设施能力</w:t>
            </w:r>
          </w:p>
        </w:tc>
        <w:tc>
          <w:tcPr>
            <w:tcW w:w="1462"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844"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年平均工作时</w:t>
            </w:r>
          </w:p>
        </w:tc>
        <w:tc>
          <w:tcPr>
            <w:tcW w:w="2450"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250d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691"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运营单位</w:t>
            </w:r>
          </w:p>
        </w:tc>
        <w:tc>
          <w:tcPr>
            <w:tcW w:w="3133" w:type="dxa"/>
            <w:gridSpan w:val="7"/>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新疆中泰兴苇生物科技有限公司</w:t>
            </w:r>
          </w:p>
        </w:tc>
        <w:tc>
          <w:tcPr>
            <w:tcW w:w="4666" w:type="dxa"/>
            <w:gridSpan w:val="1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运营单位社会统一信用代码</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或组织机构代码）</w:t>
            </w:r>
          </w:p>
        </w:tc>
        <w:tc>
          <w:tcPr>
            <w:tcW w:w="2923" w:type="dxa"/>
            <w:gridSpan w:val="4"/>
            <w:vAlign w:val="top"/>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91652801MA77L11T7R</w:t>
            </w:r>
          </w:p>
        </w:tc>
        <w:tc>
          <w:tcPr>
            <w:tcW w:w="1205"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验收时间</w:t>
            </w:r>
          </w:p>
        </w:tc>
        <w:tc>
          <w:tcPr>
            <w:tcW w:w="1245"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2023</w:t>
            </w:r>
            <w:r>
              <w:rPr>
                <w:rFonts w:hint="eastAsia" w:ascii="宋体" w:hAnsi="宋体" w:eastAsia="宋体" w:cs="宋体"/>
                <w:color w:val="000000" w:themeColor="text1"/>
                <w:sz w:val="18"/>
                <w:szCs w:val="18"/>
                <w:highlight w:val="none"/>
                <w14:textFill>
                  <w14:solidFill>
                    <w14:schemeClr w14:val="tx1"/>
                  </w14:solidFill>
                </w14:textFill>
              </w:rPr>
              <w:t>年</w:t>
            </w:r>
            <w:r>
              <w:rPr>
                <w:rFonts w:hint="eastAsia" w:ascii="宋体" w:hAnsi="宋体" w:cs="宋体"/>
                <w:color w:val="000000" w:themeColor="text1"/>
                <w:sz w:val="18"/>
                <w:szCs w:val="18"/>
                <w:highlight w:val="none"/>
                <w:lang w:val="en-US" w:eastAsia="zh-CN"/>
                <w14:textFill>
                  <w14:solidFill>
                    <w14:schemeClr w14:val="tx1"/>
                  </w14:solidFill>
                </w14:textFill>
              </w:rPr>
              <w:t>4</w:t>
            </w:r>
            <w:r>
              <w:rPr>
                <w:rFonts w:hint="eastAsia" w:ascii="宋体" w:hAnsi="宋体" w:eastAsia="宋体" w:cs="宋体"/>
                <w:color w:val="000000" w:themeColor="text1"/>
                <w:sz w:val="18"/>
                <w:szCs w:val="18"/>
                <w:highlight w:val="none"/>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56" w:type="dxa"/>
            <w:gridSpan w:val="2"/>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污染物排放达标与总量控制</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工业建设项目详填）</w:t>
            </w: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污染物</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原有排放量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本期工程实际排放浓度</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本期工程允许排放浓度</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3</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本期工程产生量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4</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本期工程自身削减量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5</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本期工程实际排放量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6</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本期工程核定排放总量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7</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本期工程</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以新带老</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削减量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8</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全厂实际排放总量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9</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全厂核定排放总量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10</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区域平衡替代削减量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11</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排放增减</w:t>
            </w: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12</w:t>
            </w:r>
            <w:r>
              <w:rPr>
                <w:rFonts w:hint="eastAsia" w:ascii="宋体" w:hAnsi="宋体" w:eastAsia="宋体" w:cs="宋体"/>
                <w:color w:val="000000" w:themeColor="text1"/>
                <w:sz w:val="18"/>
                <w:szCs w:val="1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废水</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化学需氧量</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氨氮</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石油类</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废气</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二氧化硫</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烟尘</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工业粉尘</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氮氧化物</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35"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工业固体废物</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118"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与项目有关的其他特征污染物</w:t>
            </w:r>
          </w:p>
        </w:tc>
        <w:tc>
          <w:tcPr>
            <w:tcW w:w="91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11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91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56" w:type="dxa"/>
            <w:gridSpan w:val="2"/>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118"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91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8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1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7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3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37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2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0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c>
          <w:tcPr>
            <w:tcW w:w="105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15"/>
          <w:szCs w:val="15"/>
          <w:highlight w:val="none"/>
        </w:rPr>
        <w:sectPr>
          <w:headerReference r:id="rId10" w:type="default"/>
          <w:footerReference r:id="rId11" w:type="default"/>
          <w:pgSz w:w="16781" w:h="11849" w:orient="landscape"/>
          <w:pgMar w:top="567" w:right="567" w:bottom="567" w:left="567" w:header="170" w:footer="340" w:gutter="0"/>
          <w:pgBorders>
            <w:top w:val="none" w:sz="0" w:space="0"/>
            <w:left w:val="none" w:sz="0" w:space="0"/>
            <w:bottom w:val="none" w:sz="0" w:space="0"/>
            <w:right w:val="none" w:sz="0" w:space="0"/>
          </w:pgBorders>
          <w:cols w:space="0" w:num="1"/>
          <w:docGrid w:type="lines" w:linePitch="316" w:charSpace="0"/>
        </w:sectPr>
      </w:pPr>
      <w:r>
        <w:rPr>
          <w:rFonts w:hint="default" w:ascii="Times New Roman" w:hAnsi="Times New Roman" w:eastAsia="宋体" w:cs="Times New Roman"/>
          <w:color w:val="000000" w:themeColor="text1"/>
          <w:sz w:val="15"/>
          <w:szCs w:val="15"/>
          <w:highlight w:val="none"/>
          <w14:textFill>
            <w14:solidFill>
              <w14:schemeClr w14:val="tx1"/>
            </w14:solidFill>
          </w14:textFill>
        </w:rPr>
        <w:t>注：</w:t>
      </w:r>
      <w:r>
        <w:rPr>
          <w:rFonts w:hint="default" w:ascii="Times New Roman" w:hAnsi="Times New Roman" w:eastAsia="宋体" w:cs="Times New Roman"/>
          <w:color w:val="000000" w:themeColor="text1"/>
          <w:sz w:val="18"/>
          <w:szCs w:val="18"/>
          <w:highlight w:val="none"/>
          <w14:textFill>
            <w14:solidFill>
              <w14:schemeClr w14:val="tx1"/>
            </w14:solidFill>
          </w14:textFill>
        </w:rPr>
        <w:t>1</w:t>
      </w:r>
      <w:r>
        <w:rPr>
          <w:rFonts w:hint="default" w:ascii="Times New Roman" w:hAnsi="Times New Roman" w:eastAsia="宋体" w:cs="Times New Roman"/>
          <w:color w:val="000000" w:themeColor="text1"/>
          <w:sz w:val="15"/>
          <w:szCs w:val="15"/>
          <w:highlight w:val="none"/>
          <w14:textFill>
            <w14:solidFill>
              <w14:schemeClr w14:val="tx1"/>
            </w14:solidFill>
          </w14:textFill>
        </w:rPr>
        <w:t>、排放增减量：</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+）表示增加，</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-）表示减少；2、</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12</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6</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8</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11</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9）=</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4</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5</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8</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11</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eastAsia"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1）；3、计量单位：废水排放量</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万吨/年；废气排放量</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万标立方米/年；工业固体废物</w:t>
      </w:r>
      <w:r>
        <w:rPr>
          <w:rFonts w:hint="default" w:ascii="Times New Roman" w:hAnsi="Times New Roman" w:eastAsia="宋体" w:cs="Times New Roman"/>
          <w:sz w:val="15"/>
          <w:szCs w:val="15"/>
          <w:highlight w:val="none"/>
        </w:rPr>
        <w:t>排放量</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万吨/年；水污染物排放浓</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毫克/升；大气污染物排放浓度</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毫克/立方米；水污染物排放量</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吨/年；大气污染物排放量</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吨/年</w:t>
      </w:r>
    </w:p>
    <w:p>
      <w:pPr>
        <w:pStyle w:val="43"/>
        <w:ind w:firstLine="480"/>
        <w:rPr>
          <w:rFonts w:cs="Times New Roman"/>
          <w:lang w:val="en-US"/>
        </w:rPr>
      </w:pPr>
    </w:p>
    <w:p>
      <w:pPr>
        <w:pStyle w:val="43"/>
        <w:ind w:firstLine="480"/>
        <w:rPr>
          <w:rFonts w:cs="Times New Roman"/>
          <w:lang w:val="en-US"/>
        </w:rPr>
      </w:pPr>
    </w:p>
    <w:sectPr>
      <w:pgSz w:w="16838" w:h="11906" w:orient="landscape"/>
      <w:pgMar w:top="720" w:right="720" w:bottom="720" w:left="720" w:header="454"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Times New Roman Regular">
    <w:altName w:val="Times New Roman"/>
    <w:panose1 w:val="02020603050405020304"/>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720" w:firstLineChars="400"/>
      <w:jc w:val="right"/>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 w:lineRule="exact"/>
      <w:rPr>
        <w:rFonts w:ascii="Arial"/>
        <w:sz w:val="2"/>
      </w:rPr>
    </w:pPr>
    <w:r>
      <mc:AlternateContent>
        <mc:Choice Requires="wps">
          <w:drawing>
            <wp:anchor distT="0" distB="0" distL="114300" distR="114300" simplePos="0" relativeHeight="251662336" behindDoc="0" locked="0" layoutInCell="0" allowOverlap="1">
              <wp:simplePos x="0" y="0"/>
              <wp:positionH relativeFrom="page">
                <wp:posOffset>0</wp:posOffset>
              </wp:positionH>
              <wp:positionV relativeFrom="page">
                <wp:posOffset>10385425</wp:posOffset>
              </wp:positionV>
              <wp:extent cx="7560310" cy="18415"/>
              <wp:effectExtent l="0" t="0" r="2540" b="635"/>
              <wp:wrapNone/>
              <wp:docPr id="26" name="矩形 26"/>
              <wp:cNvGraphicFramePr/>
              <a:graphic xmlns:a="http://schemas.openxmlformats.org/drawingml/2006/main">
                <a:graphicData uri="http://schemas.microsoft.com/office/word/2010/wordprocessingShape">
                  <wps:wsp>
                    <wps:cNvSpPr/>
                    <wps:spPr>
                      <a:xfrm>
                        <a:off x="0" y="0"/>
                        <a:ext cx="7560310" cy="1841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0pt;margin-top:817.75pt;height:1.45pt;width:595.3pt;mso-position-horizontal-relative:page;mso-position-vertical-relative:page;z-index:251662336;mso-width-relative:page;mso-height-relative:page;" fillcolor="#FFFFFF" filled="t" stroked="f" coordsize="21600,21600" o:allowincell="f" o:gfxdata="UEsDBAoAAAAAAIdO4kAAAAAAAAAAAAAAAAAEAAAAZHJzL1BLAwQUAAAACACHTuJAwqUJJdcAAAAL&#10;AQAADwAAAGRycy9kb3ducmV2LnhtbE2PwU7DMBBE70j8g7VI3Kgd2kRtGqcHpJ6AAy0S1228TaLG&#10;6xA7bfh7XC70uDOj2TfFZrKdONPgW8cakpkCQVw503Kt4XO/fVqC8AHZYOeYNPyQh015f1dgbtyF&#10;P+i8C7WIJexz1NCE0OdS+qohi37meuLoHd1gMcRzqKUZ8BLLbSeflcqkxZbjhwZ7emmoOu1GqwGz&#10;hfl+P87f9q9jhqt6Utv0S2n9+JCoNYhAU/gPwxU/okMZmQ5uZONFpyEOCVHN5mkK4uonK5WBOPxp&#10;ywXIspC3G8pfUEsDBBQAAAAIAIdO4kBrrPxWsAEAAGADAAAOAAAAZHJzL2Uyb0RvYy54bWytU0tu&#10;2zAQ3RfoHQjua0lu4waC5SxiuJuiDZDmADRFSQT4wwxt2acp0F0P0eMUvUaHlOq06SaLaEHNj2/m&#10;vZHWNydr2FEBau8aXi1KzpSTvtWub/jDl92ba84wCtcK451q+Fkhv9m8frUeQ62WfvCmVcAIxGE9&#10;hoYPMYa6KFAOygpc+KAcJTsPVkRyoS9aECOhW1Msy3JVjB7aAF4qRIpupySfEeE5gL7rtFRbLw9W&#10;uTihgjIiEiUcdEC+ydN2nZLxc9ehisw0nJjGfFITsvfpLDZrUfcgwqDlPIJ4zghPOFmhHTW9QG1F&#10;FOwA+j8oqyV49F1cSG+LiUhWhFhU5RNt7gcRVOZCUmO4iI4vBys/He+A6bbhyxVnTlja+K+v33/+&#10;+MYoQOqMAWsqug93MHtIZqJ66sCmN5Fgp6zo+aKoOkUmKfj+alW+rUhsSbnq+l11lTCLx8sBMH5Q&#10;3rJkNBxoYVlHcfyIcSr9U5J6oTe63WljsgP9/tYAOwpa7i4/M/o/ZcalYufTtQkxRYpEbKKSrL1v&#10;zyTEIYDuBxqkykgpQ8LnieePJG32bz8jPf4Y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pQkl&#10;1wAAAAsBAAAPAAAAAAAAAAEAIAAAACIAAABkcnMvZG93bnJldi54bWxQSwECFAAUAAAACACHTuJA&#10;a6z8VrABAABgAwAADgAAAAAAAAABACAAAAAmAQAAZHJzL2Uyb0RvYy54bWxQSwUGAAAAAAYABgBZ&#10;AQAASAUAAAAA&#10;">
              <v:fill on="t" focussize="0,0"/>
              <v:stroke on="f"/>
              <v:imagedata o:title=""/>
              <o:lock v:ext="edit" aspectratio="f"/>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default" w:eastAsia="宋体"/>
        <w:lang w:val="en-US" w:eastAsia="zh-CN"/>
      </w:rPr>
    </w:pPr>
    <w:r>
      <w:rPr>
        <w:rFonts w:hint="eastAsia"/>
        <w:lang w:eastAsia="zh-CN"/>
      </w:rPr>
      <w:t>新疆中泰兴苇生物科技有限公司日产125吨生活用纸产品升级改造项目</w:t>
    </w:r>
    <w:r>
      <w:rPr>
        <w:rFonts w:hint="eastAsia"/>
      </w:rPr>
      <w:t>验收</w:t>
    </w:r>
    <w:r>
      <w:rPr>
        <w:rFonts w:hint="eastAsia"/>
        <w:lang w:val="en-US" w:eastAsia="zh-CN"/>
      </w:rPr>
      <w:t>环境保护验收报告书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eastAsia"/>
        <w:lang w:eastAsia="zh-CN"/>
      </w:rPr>
    </w:pPr>
    <w:r>
      <w:rPr>
        <w:rFonts w:hint="eastAsia"/>
        <w:lang w:eastAsia="zh-CN"/>
      </w:rPr>
      <w:t>新疆中泰兴苇生物科技有限公司日产125吨生活用纸产品升级改造项目</w:t>
    </w:r>
    <w:r>
      <w:rPr>
        <w:rFonts w:hint="eastAsia"/>
      </w:rPr>
      <w:t>验收</w:t>
    </w:r>
    <w:r>
      <w:rPr>
        <w:rFonts w:hint="eastAsia"/>
        <w:lang w:val="en-US" w:eastAsia="zh-CN"/>
      </w:rPr>
      <w:t>环境保护验收报告书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E6E548"/>
    <w:multiLevelType w:val="singleLevel"/>
    <w:tmpl w:val="94E6E548"/>
    <w:lvl w:ilvl="0" w:tentative="0">
      <w:start w:val="4"/>
      <w:numFmt w:val="decimal"/>
      <w:suff w:val="nothing"/>
      <w:lvlText w:val="（%1）"/>
      <w:lvlJc w:val="left"/>
    </w:lvl>
  </w:abstractNum>
  <w:abstractNum w:abstractNumId="1">
    <w:nsid w:val="AAB3D6EE"/>
    <w:multiLevelType w:val="singleLevel"/>
    <w:tmpl w:val="AAB3D6EE"/>
    <w:lvl w:ilvl="0" w:tentative="0">
      <w:start w:val="1"/>
      <w:numFmt w:val="decimal"/>
      <w:suff w:val="nothing"/>
      <w:lvlText w:val="（%1）"/>
      <w:lvlJc w:val="left"/>
      <w:pPr>
        <w:ind w:left="-240"/>
      </w:pPr>
    </w:lvl>
  </w:abstractNum>
  <w:abstractNum w:abstractNumId="2">
    <w:nsid w:val="275A89E8"/>
    <w:multiLevelType w:val="singleLevel"/>
    <w:tmpl w:val="275A89E8"/>
    <w:lvl w:ilvl="0" w:tentative="0">
      <w:start w:val="1"/>
      <w:numFmt w:val="decimal"/>
      <w:suff w:val="nothing"/>
      <w:lvlText w:val="（%1）"/>
      <w:lvlJc w:val="left"/>
      <w:pPr>
        <w:ind w:left="760"/>
      </w:pPr>
    </w:lvl>
  </w:abstractNum>
  <w:abstractNum w:abstractNumId="3">
    <w:nsid w:val="2868465D"/>
    <w:multiLevelType w:val="multilevel"/>
    <w:tmpl w:val="2868465D"/>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26171DA"/>
    <w:multiLevelType w:val="multilevel"/>
    <w:tmpl w:val="326171DA"/>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C61F103"/>
    <w:multiLevelType w:val="singleLevel"/>
    <w:tmpl w:val="3C61F103"/>
    <w:lvl w:ilvl="0" w:tentative="0">
      <w:start w:val="1"/>
      <w:numFmt w:val="decimal"/>
      <w:suff w:val="space"/>
      <w:lvlText w:val="%1)"/>
      <w:lvlJc w:val="left"/>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IwNTMyNWI4ZDc1YjQ5OTdmNTBjMWM4MmNhMDUxMDIifQ=="/>
  </w:docVars>
  <w:rsids>
    <w:rsidRoot w:val="00276FEB"/>
    <w:rsid w:val="00004242"/>
    <w:rsid w:val="00010E83"/>
    <w:rsid w:val="00036060"/>
    <w:rsid w:val="00037B10"/>
    <w:rsid w:val="00037C0F"/>
    <w:rsid w:val="00040975"/>
    <w:rsid w:val="000412B7"/>
    <w:rsid w:val="000423CC"/>
    <w:rsid w:val="000444DF"/>
    <w:rsid w:val="00047D9A"/>
    <w:rsid w:val="00047DF9"/>
    <w:rsid w:val="0005791A"/>
    <w:rsid w:val="0006104D"/>
    <w:rsid w:val="000659B5"/>
    <w:rsid w:val="0006646E"/>
    <w:rsid w:val="00070634"/>
    <w:rsid w:val="000744CB"/>
    <w:rsid w:val="000778C9"/>
    <w:rsid w:val="000808A3"/>
    <w:rsid w:val="000902A3"/>
    <w:rsid w:val="000907A2"/>
    <w:rsid w:val="00090AF2"/>
    <w:rsid w:val="00092B23"/>
    <w:rsid w:val="000B6836"/>
    <w:rsid w:val="000C4002"/>
    <w:rsid w:val="000D0392"/>
    <w:rsid w:val="000D5689"/>
    <w:rsid w:val="000E2363"/>
    <w:rsid w:val="000F4118"/>
    <w:rsid w:val="000F5817"/>
    <w:rsid w:val="001003B1"/>
    <w:rsid w:val="00100627"/>
    <w:rsid w:val="00130782"/>
    <w:rsid w:val="00144A16"/>
    <w:rsid w:val="00146A48"/>
    <w:rsid w:val="00147050"/>
    <w:rsid w:val="00160C69"/>
    <w:rsid w:val="00162C60"/>
    <w:rsid w:val="00164C35"/>
    <w:rsid w:val="00166BA3"/>
    <w:rsid w:val="00167766"/>
    <w:rsid w:val="00172E1F"/>
    <w:rsid w:val="00182502"/>
    <w:rsid w:val="00182C4B"/>
    <w:rsid w:val="00191516"/>
    <w:rsid w:val="00192970"/>
    <w:rsid w:val="001A32E5"/>
    <w:rsid w:val="001B5C24"/>
    <w:rsid w:val="001C5ECC"/>
    <w:rsid w:val="001D1155"/>
    <w:rsid w:val="001E29F7"/>
    <w:rsid w:val="001E6171"/>
    <w:rsid w:val="001E7481"/>
    <w:rsid w:val="001F49A1"/>
    <w:rsid w:val="001F7CE5"/>
    <w:rsid w:val="00211697"/>
    <w:rsid w:val="00213795"/>
    <w:rsid w:val="002401D9"/>
    <w:rsid w:val="00241AC1"/>
    <w:rsid w:val="00247F6C"/>
    <w:rsid w:val="002607A5"/>
    <w:rsid w:val="00266767"/>
    <w:rsid w:val="00276FEB"/>
    <w:rsid w:val="00292DFA"/>
    <w:rsid w:val="00293A00"/>
    <w:rsid w:val="002A15D2"/>
    <w:rsid w:val="002A4BE0"/>
    <w:rsid w:val="002A4C2C"/>
    <w:rsid w:val="002B46AC"/>
    <w:rsid w:val="002B782F"/>
    <w:rsid w:val="002C33AC"/>
    <w:rsid w:val="002C499C"/>
    <w:rsid w:val="002D030B"/>
    <w:rsid w:val="002D334F"/>
    <w:rsid w:val="002D46DC"/>
    <w:rsid w:val="002D6219"/>
    <w:rsid w:val="002E0263"/>
    <w:rsid w:val="002E51D4"/>
    <w:rsid w:val="002E5EA4"/>
    <w:rsid w:val="002E6D14"/>
    <w:rsid w:val="002F34DF"/>
    <w:rsid w:val="0032383D"/>
    <w:rsid w:val="00323F12"/>
    <w:rsid w:val="00327D56"/>
    <w:rsid w:val="00327DBF"/>
    <w:rsid w:val="003505FE"/>
    <w:rsid w:val="0035581A"/>
    <w:rsid w:val="00377066"/>
    <w:rsid w:val="00391FA5"/>
    <w:rsid w:val="00395373"/>
    <w:rsid w:val="003B27ED"/>
    <w:rsid w:val="003C4D60"/>
    <w:rsid w:val="003C5BCB"/>
    <w:rsid w:val="003D5C0F"/>
    <w:rsid w:val="003F662D"/>
    <w:rsid w:val="00406148"/>
    <w:rsid w:val="00406539"/>
    <w:rsid w:val="00414DFA"/>
    <w:rsid w:val="0041766F"/>
    <w:rsid w:val="00425BE8"/>
    <w:rsid w:val="00426544"/>
    <w:rsid w:val="00442AA5"/>
    <w:rsid w:val="004442DD"/>
    <w:rsid w:val="00465E5F"/>
    <w:rsid w:val="00467DE4"/>
    <w:rsid w:val="0049359B"/>
    <w:rsid w:val="00496B64"/>
    <w:rsid w:val="00497DDD"/>
    <w:rsid w:val="004A46F6"/>
    <w:rsid w:val="004B4287"/>
    <w:rsid w:val="004B5B90"/>
    <w:rsid w:val="004C54D5"/>
    <w:rsid w:val="004D5392"/>
    <w:rsid w:val="004D6B64"/>
    <w:rsid w:val="004F03D8"/>
    <w:rsid w:val="005000B8"/>
    <w:rsid w:val="00514742"/>
    <w:rsid w:val="00514B7F"/>
    <w:rsid w:val="00524B41"/>
    <w:rsid w:val="00530C19"/>
    <w:rsid w:val="0053226A"/>
    <w:rsid w:val="00532CC9"/>
    <w:rsid w:val="00533807"/>
    <w:rsid w:val="00536052"/>
    <w:rsid w:val="00542227"/>
    <w:rsid w:val="00544335"/>
    <w:rsid w:val="005500B8"/>
    <w:rsid w:val="00562C9A"/>
    <w:rsid w:val="005654F4"/>
    <w:rsid w:val="005655BE"/>
    <w:rsid w:val="00566943"/>
    <w:rsid w:val="00567022"/>
    <w:rsid w:val="00567F18"/>
    <w:rsid w:val="00575149"/>
    <w:rsid w:val="0058487A"/>
    <w:rsid w:val="005933BE"/>
    <w:rsid w:val="005941CC"/>
    <w:rsid w:val="005A26FA"/>
    <w:rsid w:val="005A7E09"/>
    <w:rsid w:val="005B1B7C"/>
    <w:rsid w:val="005C06FD"/>
    <w:rsid w:val="005F7C04"/>
    <w:rsid w:val="0060375F"/>
    <w:rsid w:val="006063A8"/>
    <w:rsid w:val="006137CB"/>
    <w:rsid w:val="00614721"/>
    <w:rsid w:val="006166B6"/>
    <w:rsid w:val="00617465"/>
    <w:rsid w:val="0062168F"/>
    <w:rsid w:val="00622BCD"/>
    <w:rsid w:val="0062445B"/>
    <w:rsid w:val="00632BD7"/>
    <w:rsid w:val="00637EDB"/>
    <w:rsid w:val="0065045C"/>
    <w:rsid w:val="00652E81"/>
    <w:rsid w:val="006544B6"/>
    <w:rsid w:val="006553E2"/>
    <w:rsid w:val="00656D0A"/>
    <w:rsid w:val="0066704D"/>
    <w:rsid w:val="00677991"/>
    <w:rsid w:val="006860B3"/>
    <w:rsid w:val="006949A1"/>
    <w:rsid w:val="006B07D2"/>
    <w:rsid w:val="006B5BED"/>
    <w:rsid w:val="006D3E3C"/>
    <w:rsid w:val="006D6945"/>
    <w:rsid w:val="006E35EF"/>
    <w:rsid w:val="006F0BFE"/>
    <w:rsid w:val="006F0F3C"/>
    <w:rsid w:val="007012A2"/>
    <w:rsid w:val="007168FB"/>
    <w:rsid w:val="00723F7F"/>
    <w:rsid w:val="00730460"/>
    <w:rsid w:val="00734FF9"/>
    <w:rsid w:val="0074096C"/>
    <w:rsid w:val="00746010"/>
    <w:rsid w:val="0074718C"/>
    <w:rsid w:val="007514DF"/>
    <w:rsid w:val="00751DDD"/>
    <w:rsid w:val="007650C9"/>
    <w:rsid w:val="007727F5"/>
    <w:rsid w:val="00794319"/>
    <w:rsid w:val="00795E2D"/>
    <w:rsid w:val="007A124F"/>
    <w:rsid w:val="007D66A3"/>
    <w:rsid w:val="007E2DA6"/>
    <w:rsid w:val="007E50C0"/>
    <w:rsid w:val="007E773E"/>
    <w:rsid w:val="007F226D"/>
    <w:rsid w:val="007F3D37"/>
    <w:rsid w:val="007F6016"/>
    <w:rsid w:val="00817F14"/>
    <w:rsid w:val="008214AE"/>
    <w:rsid w:val="00827944"/>
    <w:rsid w:val="00842BB5"/>
    <w:rsid w:val="00875755"/>
    <w:rsid w:val="0088507B"/>
    <w:rsid w:val="008968F2"/>
    <w:rsid w:val="008A19BF"/>
    <w:rsid w:val="008B57CD"/>
    <w:rsid w:val="008C1662"/>
    <w:rsid w:val="008C47F3"/>
    <w:rsid w:val="008C58B6"/>
    <w:rsid w:val="008F3004"/>
    <w:rsid w:val="00910BB9"/>
    <w:rsid w:val="00923F5E"/>
    <w:rsid w:val="00925CCE"/>
    <w:rsid w:val="00934796"/>
    <w:rsid w:val="00936617"/>
    <w:rsid w:val="00944062"/>
    <w:rsid w:val="00945274"/>
    <w:rsid w:val="00955C3A"/>
    <w:rsid w:val="00984780"/>
    <w:rsid w:val="00990D73"/>
    <w:rsid w:val="009941E0"/>
    <w:rsid w:val="009947E7"/>
    <w:rsid w:val="009A462A"/>
    <w:rsid w:val="009A586C"/>
    <w:rsid w:val="009B4731"/>
    <w:rsid w:val="009C222D"/>
    <w:rsid w:val="009C3C18"/>
    <w:rsid w:val="009C53E8"/>
    <w:rsid w:val="009C5DDE"/>
    <w:rsid w:val="009D05C6"/>
    <w:rsid w:val="009D2A9A"/>
    <w:rsid w:val="009E19B8"/>
    <w:rsid w:val="009E5232"/>
    <w:rsid w:val="009E6607"/>
    <w:rsid w:val="009E6D77"/>
    <w:rsid w:val="009F1F08"/>
    <w:rsid w:val="00A04962"/>
    <w:rsid w:val="00A07E1C"/>
    <w:rsid w:val="00A11108"/>
    <w:rsid w:val="00A12BE7"/>
    <w:rsid w:val="00A13280"/>
    <w:rsid w:val="00A17B27"/>
    <w:rsid w:val="00A215D8"/>
    <w:rsid w:val="00A26CC1"/>
    <w:rsid w:val="00A27E50"/>
    <w:rsid w:val="00A32C06"/>
    <w:rsid w:val="00A35355"/>
    <w:rsid w:val="00A36634"/>
    <w:rsid w:val="00A40139"/>
    <w:rsid w:val="00A43DE8"/>
    <w:rsid w:val="00A4784A"/>
    <w:rsid w:val="00A47F59"/>
    <w:rsid w:val="00A633AC"/>
    <w:rsid w:val="00A67BC7"/>
    <w:rsid w:val="00A87003"/>
    <w:rsid w:val="00A920B3"/>
    <w:rsid w:val="00A93947"/>
    <w:rsid w:val="00AB6EF8"/>
    <w:rsid w:val="00AC0E32"/>
    <w:rsid w:val="00AC50FB"/>
    <w:rsid w:val="00AE4C14"/>
    <w:rsid w:val="00AF6EC6"/>
    <w:rsid w:val="00B07395"/>
    <w:rsid w:val="00B12299"/>
    <w:rsid w:val="00B3195B"/>
    <w:rsid w:val="00B445F7"/>
    <w:rsid w:val="00B568E9"/>
    <w:rsid w:val="00B72F43"/>
    <w:rsid w:val="00B860FE"/>
    <w:rsid w:val="00B95506"/>
    <w:rsid w:val="00B95B06"/>
    <w:rsid w:val="00BA1731"/>
    <w:rsid w:val="00BB1021"/>
    <w:rsid w:val="00BB1ABA"/>
    <w:rsid w:val="00BB78D1"/>
    <w:rsid w:val="00BC4400"/>
    <w:rsid w:val="00BC5E6B"/>
    <w:rsid w:val="00BC60E1"/>
    <w:rsid w:val="00BD01CA"/>
    <w:rsid w:val="00BD090D"/>
    <w:rsid w:val="00BD4854"/>
    <w:rsid w:val="00BD6E7E"/>
    <w:rsid w:val="00BE354B"/>
    <w:rsid w:val="00BE725E"/>
    <w:rsid w:val="00BE79DA"/>
    <w:rsid w:val="00BF54A4"/>
    <w:rsid w:val="00BF62E7"/>
    <w:rsid w:val="00C02889"/>
    <w:rsid w:val="00C03175"/>
    <w:rsid w:val="00C04E7D"/>
    <w:rsid w:val="00C204C3"/>
    <w:rsid w:val="00C51C93"/>
    <w:rsid w:val="00C547B4"/>
    <w:rsid w:val="00C60E46"/>
    <w:rsid w:val="00C61E5C"/>
    <w:rsid w:val="00C64D10"/>
    <w:rsid w:val="00C71A48"/>
    <w:rsid w:val="00C72C8D"/>
    <w:rsid w:val="00C7734C"/>
    <w:rsid w:val="00C856EA"/>
    <w:rsid w:val="00C94129"/>
    <w:rsid w:val="00C94A44"/>
    <w:rsid w:val="00CA4DDE"/>
    <w:rsid w:val="00CA56E1"/>
    <w:rsid w:val="00CB1E22"/>
    <w:rsid w:val="00CB5949"/>
    <w:rsid w:val="00CB6697"/>
    <w:rsid w:val="00CC39F1"/>
    <w:rsid w:val="00CC6F92"/>
    <w:rsid w:val="00CC7A45"/>
    <w:rsid w:val="00CC7B4E"/>
    <w:rsid w:val="00CE2766"/>
    <w:rsid w:val="00CF22BC"/>
    <w:rsid w:val="00CF3EB9"/>
    <w:rsid w:val="00CF6817"/>
    <w:rsid w:val="00D075ED"/>
    <w:rsid w:val="00D234B8"/>
    <w:rsid w:val="00D306B6"/>
    <w:rsid w:val="00D46A7F"/>
    <w:rsid w:val="00D52351"/>
    <w:rsid w:val="00D53699"/>
    <w:rsid w:val="00D628D1"/>
    <w:rsid w:val="00D64782"/>
    <w:rsid w:val="00D71C77"/>
    <w:rsid w:val="00D81094"/>
    <w:rsid w:val="00D83166"/>
    <w:rsid w:val="00DA3D0F"/>
    <w:rsid w:val="00DB26C5"/>
    <w:rsid w:val="00DB5664"/>
    <w:rsid w:val="00DC0707"/>
    <w:rsid w:val="00DC1020"/>
    <w:rsid w:val="00DD5BC1"/>
    <w:rsid w:val="00DE0D41"/>
    <w:rsid w:val="00DE6353"/>
    <w:rsid w:val="00E00453"/>
    <w:rsid w:val="00E014AC"/>
    <w:rsid w:val="00E12D51"/>
    <w:rsid w:val="00E153F1"/>
    <w:rsid w:val="00E169A1"/>
    <w:rsid w:val="00E255E5"/>
    <w:rsid w:val="00E26692"/>
    <w:rsid w:val="00E305F0"/>
    <w:rsid w:val="00E31D1E"/>
    <w:rsid w:val="00E46031"/>
    <w:rsid w:val="00E4645E"/>
    <w:rsid w:val="00E53375"/>
    <w:rsid w:val="00E566B4"/>
    <w:rsid w:val="00E667CE"/>
    <w:rsid w:val="00E67CE1"/>
    <w:rsid w:val="00E702F8"/>
    <w:rsid w:val="00E70B4E"/>
    <w:rsid w:val="00E838F7"/>
    <w:rsid w:val="00EA2691"/>
    <w:rsid w:val="00EB1608"/>
    <w:rsid w:val="00EB1D23"/>
    <w:rsid w:val="00EB481C"/>
    <w:rsid w:val="00EB4AEB"/>
    <w:rsid w:val="00EC5516"/>
    <w:rsid w:val="00ED1B1B"/>
    <w:rsid w:val="00EF0422"/>
    <w:rsid w:val="00EF7DA4"/>
    <w:rsid w:val="00F04B47"/>
    <w:rsid w:val="00F111FB"/>
    <w:rsid w:val="00F241C7"/>
    <w:rsid w:val="00F245B2"/>
    <w:rsid w:val="00F25CA8"/>
    <w:rsid w:val="00F27FE5"/>
    <w:rsid w:val="00F3065D"/>
    <w:rsid w:val="00F47DEC"/>
    <w:rsid w:val="00F52D92"/>
    <w:rsid w:val="00F5609F"/>
    <w:rsid w:val="00F6076F"/>
    <w:rsid w:val="00F60E49"/>
    <w:rsid w:val="00F62B0C"/>
    <w:rsid w:val="00F6619E"/>
    <w:rsid w:val="00F67F9C"/>
    <w:rsid w:val="00F90D61"/>
    <w:rsid w:val="00F91928"/>
    <w:rsid w:val="00FA29E9"/>
    <w:rsid w:val="00FA463F"/>
    <w:rsid w:val="00FA7E95"/>
    <w:rsid w:val="00FB26F3"/>
    <w:rsid w:val="00FC1332"/>
    <w:rsid w:val="00FC456F"/>
    <w:rsid w:val="00FF0811"/>
    <w:rsid w:val="00FF4C41"/>
    <w:rsid w:val="00FF7F1E"/>
    <w:rsid w:val="01143ACB"/>
    <w:rsid w:val="017429F1"/>
    <w:rsid w:val="01BD5A0D"/>
    <w:rsid w:val="037E0BE9"/>
    <w:rsid w:val="0419696D"/>
    <w:rsid w:val="05032F71"/>
    <w:rsid w:val="0A8C08E7"/>
    <w:rsid w:val="0C4F5056"/>
    <w:rsid w:val="0DA7052E"/>
    <w:rsid w:val="0FE22664"/>
    <w:rsid w:val="14EC22EB"/>
    <w:rsid w:val="15E80478"/>
    <w:rsid w:val="162E0C13"/>
    <w:rsid w:val="1B301029"/>
    <w:rsid w:val="1C40383F"/>
    <w:rsid w:val="1C7F3726"/>
    <w:rsid w:val="1DA3361C"/>
    <w:rsid w:val="1DFE1D07"/>
    <w:rsid w:val="1F862DF9"/>
    <w:rsid w:val="20870699"/>
    <w:rsid w:val="23201794"/>
    <w:rsid w:val="23876106"/>
    <w:rsid w:val="23E2511B"/>
    <w:rsid w:val="24FF20BF"/>
    <w:rsid w:val="25B8236D"/>
    <w:rsid w:val="2A027A0A"/>
    <w:rsid w:val="2BBF3FB5"/>
    <w:rsid w:val="2BF27F5A"/>
    <w:rsid w:val="319F2C95"/>
    <w:rsid w:val="31A475BD"/>
    <w:rsid w:val="350B3E65"/>
    <w:rsid w:val="35AD6AF6"/>
    <w:rsid w:val="362641BB"/>
    <w:rsid w:val="3AD7041F"/>
    <w:rsid w:val="3C3C7C23"/>
    <w:rsid w:val="3D303E80"/>
    <w:rsid w:val="3E1E7173"/>
    <w:rsid w:val="3E436652"/>
    <w:rsid w:val="3FAD3295"/>
    <w:rsid w:val="41330E82"/>
    <w:rsid w:val="44B00CD6"/>
    <w:rsid w:val="44F30C7E"/>
    <w:rsid w:val="472ECAD0"/>
    <w:rsid w:val="485E7A32"/>
    <w:rsid w:val="49294324"/>
    <w:rsid w:val="4BE56F53"/>
    <w:rsid w:val="4D833F34"/>
    <w:rsid w:val="561E5BF6"/>
    <w:rsid w:val="5624337B"/>
    <w:rsid w:val="591150F5"/>
    <w:rsid w:val="5A643F59"/>
    <w:rsid w:val="5AD03748"/>
    <w:rsid w:val="5AFC68D6"/>
    <w:rsid w:val="5B4A665F"/>
    <w:rsid w:val="5C1D5175"/>
    <w:rsid w:val="5CC25B89"/>
    <w:rsid w:val="5D779E61"/>
    <w:rsid w:val="5E15052C"/>
    <w:rsid w:val="5F2A0A16"/>
    <w:rsid w:val="603272C8"/>
    <w:rsid w:val="60355BDC"/>
    <w:rsid w:val="60856A34"/>
    <w:rsid w:val="626D0656"/>
    <w:rsid w:val="63506884"/>
    <w:rsid w:val="66E23E66"/>
    <w:rsid w:val="67B169BA"/>
    <w:rsid w:val="6CAB2237"/>
    <w:rsid w:val="70B33A4B"/>
    <w:rsid w:val="72C47255"/>
    <w:rsid w:val="735E40A4"/>
    <w:rsid w:val="75037F15"/>
    <w:rsid w:val="757D51F4"/>
    <w:rsid w:val="7A6758FE"/>
    <w:rsid w:val="7E386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9"/>
    <w:qFormat/>
    <w:uiPriority w:val="9"/>
    <w:pPr>
      <w:keepNext/>
      <w:keepLines/>
      <w:spacing w:before="120" w:after="60" w:line="240" w:lineRule="auto"/>
      <w:ind w:firstLine="0" w:firstLineChars="0"/>
      <w:outlineLvl w:val="0"/>
    </w:pPr>
    <w:rPr>
      <w:b/>
      <w:bCs/>
      <w:kern w:val="44"/>
      <w:sz w:val="28"/>
      <w:szCs w:val="44"/>
    </w:rPr>
  </w:style>
  <w:style w:type="paragraph" w:styleId="3">
    <w:name w:val="heading 2"/>
    <w:basedOn w:val="1"/>
    <w:next w:val="1"/>
    <w:link w:val="32"/>
    <w:unhideWhenUsed/>
    <w:qFormat/>
    <w:uiPriority w:val="9"/>
    <w:pPr>
      <w:keepNext/>
      <w:keepLines/>
      <w:spacing w:before="120" w:after="60" w:line="240" w:lineRule="auto"/>
      <w:ind w:firstLine="0" w:firstLineChars="0"/>
      <w:outlineLvl w:val="1"/>
    </w:pPr>
    <w:rPr>
      <w:rFonts w:cstheme="majorBidi"/>
      <w:b/>
      <w:bCs/>
      <w:szCs w:val="32"/>
    </w:rPr>
  </w:style>
  <w:style w:type="paragraph" w:styleId="4">
    <w:name w:val="heading 3"/>
    <w:basedOn w:val="1"/>
    <w:next w:val="1"/>
    <w:link w:val="30"/>
    <w:unhideWhenUsed/>
    <w:qFormat/>
    <w:uiPriority w:val="9"/>
    <w:pPr>
      <w:keepNext/>
      <w:keepLines/>
      <w:spacing w:before="120" w:after="60" w:line="240" w:lineRule="auto"/>
      <w:ind w:firstLine="0" w:firstLineChars="0"/>
      <w:jc w:val="left"/>
      <w:outlineLvl w:val="2"/>
    </w:pPr>
    <w:rPr>
      <w:b/>
      <w:bCs/>
      <w:szCs w:val="32"/>
    </w:rPr>
  </w:style>
  <w:style w:type="paragraph" w:styleId="5">
    <w:name w:val="heading 4"/>
    <w:basedOn w:val="1"/>
    <w:next w:val="1"/>
    <w:link w:val="39"/>
    <w:unhideWhenUsed/>
    <w:qFormat/>
    <w:uiPriority w:val="9"/>
    <w:pPr>
      <w:keepNext/>
      <w:keepLines/>
      <w:spacing w:before="120" w:after="60" w:line="240" w:lineRule="auto"/>
      <w:ind w:firstLine="0" w:firstLineChars="0"/>
      <w:outlineLvl w:val="3"/>
    </w:pPr>
    <w:rPr>
      <w:rFonts w:cstheme="majorBidi"/>
      <w:b/>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 w:val="21"/>
      <w:szCs w:val="20"/>
    </w:rPr>
  </w:style>
  <w:style w:type="paragraph" w:styleId="7">
    <w:name w:val="Body Text First Indent 2"/>
    <w:basedOn w:val="8"/>
    <w:next w:val="1"/>
    <w:qFormat/>
    <w:uiPriority w:val="0"/>
    <w:pPr>
      <w:ind w:firstLine="420" w:firstLineChars="200"/>
    </w:pPr>
    <w:rPr>
      <w:rFonts w:eastAsia="仿宋_GB2312"/>
      <w:snapToGrid w:val="0"/>
      <w:color w:val="000000"/>
      <w:sz w:val="28"/>
      <w:szCs w:val="32"/>
    </w:rPr>
  </w:style>
  <w:style w:type="paragraph" w:styleId="8">
    <w:name w:val="Body Text Indent"/>
    <w:basedOn w:val="1"/>
    <w:next w:val="5"/>
    <w:qFormat/>
    <w:uiPriority w:val="0"/>
    <w:pPr>
      <w:ind w:firstLine="540" w:firstLineChars="225"/>
    </w:pPr>
    <w:rPr>
      <w:szCs w:val="24"/>
    </w:rPr>
  </w:style>
  <w:style w:type="paragraph" w:styleId="9">
    <w:name w:val="annotation text"/>
    <w:basedOn w:val="1"/>
    <w:link w:val="40"/>
    <w:semiHidden/>
    <w:unhideWhenUsed/>
    <w:qFormat/>
    <w:uiPriority w:val="99"/>
    <w:pPr>
      <w:jc w:val="left"/>
    </w:pPr>
  </w:style>
  <w:style w:type="paragraph" w:styleId="10">
    <w:name w:val="Body Text"/>
    <w:basedOn w:val="1"/>
    <w:next w:val="11"/>
    <w:unhideWhenUsed/>
    <w:qFormat/>
    <w:uiPriority w:val="99"/>
    <w:pPr>
      <w:spacing w:after="120"/>
    </w:pPr>
  </w:style>
  <w:style w:type="paragraph" w:customStyle="1" w:styleId="11">
    <w:name w:val="Body Text 21"/>
    <w:basedOn w:val="1"/>
    <w:qFormat/>
    <w:uiPriority w:val="0"/>
    <w:pPr>
      <w:spacing w:after="120" w:line="480" w:lineRule="auto"/>
    </w:pPr>
  </w:style>
  <w:style w:type="paragraph" w:styleId="12">
    <w:name w:val="toc 3"/>
    <w:basedOn w:val="1"/>
    <w:next w:val="1"/>
    <w:unhideWhenUsed/>
    <w:qFormat/>
    <w:uiPriority w:val="39"/>
    <w:pPr>
      <w:ind w:left="840" w:leftChars="400"/>
    </w:pPr>
  </w:style>
  <w:style w:type="paragraph" w:styleId="13">
    <w:name w:val="Balloon Text"/>
    <w:basedOn w:val="1"/>
    <w:link w:val="38"/>
    <w:semiHidden/>
    <w:unhideWhenUsed/>
    <w:qFormat/>
    <w:uiPriority w:val="99"/>
    <w:pPr>
      <w:spacing w:line="240" w:lineRule="auto"/>
    </w:pPr>
    <w:rPr>
      <w:sz w:val="18"/>
      <w:szCs w:val="18"/>
    </w:rPr>
  </w:style>
  <w:style w:type="paragraph" w:styleId="14">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next w:val="1"/>
    <w:link w:val="3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spacing w:line="240" w:lineRule="auto"/>
    </w:pPr>
    <w:rPr>
      <w:sz w:val="21"/>
    </w:rPr>
  </w:style>
  <w:style w:type="paragraph" w:styleId="17">
    <w:name w:val="Subtitle"/>
    <w:basedOn w:val="1"/>
    <w:next w:val="1"/>
    <w:link w:val="34"/>
    <w:qFormat/>
    <w:uiPriority w:val="11"/>
    <w:pPr>
      <w:spacing w:before="120" w:after="60" w:line="240" w:lineRule="auto"/>
      <w:jc w:val="center"/>
      <w:textAlignment w:val="center"/>
      <w:outlineLvl w:val="2"/>
    </w:pPr>
    <w:rPr>
      <w:b/>
      <w:bCs/>
      <w:kern w:val="28"/>
      <w:szCs w:val="32"/>
    </w:rPr>
  </w:style>
  <w:style w:type="paragraph" w:styleId="18">
    <w:name w:val="List"/>
    <w:basedOn w:val="1"/>
    <w:unhideWhenUsed/>
    <w:qFormat/>
    <w:uiPriority w:val="99"/>
    <w:pPr>
      <w:ind w:left="200" w:hanging="200" w:hangingChars="200"/>
      <w:contextualSpacing/>
    </w:pPr>
  </w:style>
  <w:style w:type="paragraph" w:styleId="19">
    <w:name w:val="toc 2"/>
    <w:basedOn w:val="1"/>
    <w:next w:val="1"/>
    <w:unhideWhenUsed/>
    <w:qFormat/>
    <w:uiPriority w:val="39"/>
    <w:pPr>
      <w:ind w:left="420" w:leftChars="200"/>
    </w:pPr>
  </w:style>
  <w:style w:type="paragraph" w:styleId="20">
    <w:name w:val="Normal (Web)"/>
    <w:basedOn w:val="1"/>
    <w:qFormat/>
    <w:uiPriority w:val="0"/>
    <w:pPr>
      <w:widowControl/>
      <w:jc w:val="left"/>
    </w:pPr>
    <w:rPr>
      <w:rFonts w:hAnsi="宋体" w:cs="宋体"/>
      <w:szCs w:val="24"/>
    </w:rPr>
  </w:style>
  <w:style w:type="paragraph" w:styleId="21">
    <w:name w:val="Title"/>
    <w:basedOn w:val="1"/>
    <w:next w:val="18"/>
    <w:link w:val="33"/>
    <w:qFormat/>
    <w:uiPriority w:val="10"/>
    <w:pPr>
      <w:spacing w:before="120" w:after="60" w:line="240" w:lineRule="auto"/>
      <w:ind w:firstLine="0" w:firstLineChars="0"/>
      <w:jc w:val="center"/>
    </w:pPr>
    <w:rPr>
      <w:rFonts w:cstheme="majorBidi"/>
      <w:b/>
      <w:bCs/>
      <w:sz w:val="21"/>
      <w:szCs w:val="32"/>
    </w:rPr>
  </w:style>
  <w:style w:type="paragraph" w:styleId="22">
    <w:name w:val="annotation subject"/>
    <w:basedOn w:val="9"/>
    <w:next w:val="9"/>
    <w:link w:val="41"/>
    <w:semiHidden/>
    <w:unhideWhenUsed/>
    <w:qFormat/>
    <w:uiPriority w:val="99"/>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563C1" w:themeColor="hyperlink"/>
      <w:u w:val="single"/>
      <w14:textFill>
        <w14:solidFill>
          <w14:schemeClr w14:val="hlink"/>
        </w14:solidFill>
      </w14:textFill>
    </w:rPr>
  </w:style>
  <w:style w:type="character" w:styleId="27">
    <w:name w:val="annotation reference"/>
    <w:basedOn w:val="25"/>
    <w:semiHidden/>
    <w:unhideWhenUsed/>
    <w:qFormat/>
    <w:uiPriority w:val="99"/>
    <w:rPr>
      <w:sz w:val="21"/>
      <w:szCs w:val="21"/>
    </w:rPr>
  </w:style>
  <w:style w:type="paragraph" w:customStyle="1" w:styleId="28">
    <w:name w:val="表格文字"/>
    <w:basedOn w:val="18"/>
    <w:next w:val="1"/>
    <w:qFormat/>
    <w:uiPriority w:val="1"/>
    <w:pPr>
      <w:spacing w:line="240" w:lineRule="auto"/>
      <w:ind w:left="0" w:firstLine="0" w:firstLineChars="0"/>
      <w:jc w:val="center"/>
    </w:pPr>
    <w:rPr>
      <w:rFonts w:cs="Times New Roman"/>
      <w:kern w:val="0"/>
      <w:sz w:val="21"/>
      <w:lang w:eastAsia="en-US"/>
    </w:rPr>
  </w:style>
  <w:style w:type="character" w:customStyle="1" w:styleId="29">
    <w:name w:val="标题 1 字符"/>
    <w:basedOn w:val="25"/>
    <w:link w:val="2"/>
    <w:qFormat/>
    <w:uiPriority w:val="9"/>
    <w:rPr>
      <w:rFonts w:ascii="Times New Roman" w:hAnsi="Times New Roman" w:eastAsia="宋体"/>
      <w:b/>
      <w:bCs/>
      <w:kern w:val="44"/>
      <w:sz w:val="28"/>
      <w:szCs w:val="44"/>
    </w:rPr>
  </w:style>
  <w:style w:type="character" w:customStyle="1" w:styleId="30">
    <w:name w:val="标题 3 字符"/>
    <w:basedOn w:val="25"/>
    <w:link w:val="4"/>
    <w:qFormat/>
    <w:uiPriority w:val="9"/>
    <w:rPr>
      <w:rFonts w:ascii="Times New Roman" w:hAnsi="Times New Roman" w:eastAsia="宋体"/>
      <w:b/>
      <w:bCs/>
      <w:sz w:val="24"/>
      <w:szCs w:val="32"/>
    </w:rPr>
  </w:style>
  <w:style w:type="paragraph" w:styleId="31">
    <w:name w:val="No Spacing"/>
    <w:basedOn w:val="18"/>
    <w:next w:val="1"/>
    <w:qFormat/>
    <w:uiPriority w:val="1"/>
    <w:pPr>
      <w:spacing w:line="240" w:lineRule="auto"/>
      <w:ind w:left="0" w:firstLine="0" w:firstLineChars="0"/>
      <w:jc w:val="center"/>
      <w:textAlignment w:val="center"/>
    </w:pPr>
    <w:rPr>
      <w:sz w:val="21"/>
    </w:rPr>
  </w:style>
  <w:style w:type="character" w:customStyle="1" w:styleId="32">
    <w:name w:val="标题 2 字符"/>
    <w:basedOn w:val="25"/>
    <w:link w:val="3"/>
    <w:qFormat/>
    <w:uiPriority w:val="9"/>
    <w:rPr>
      <w:rFonts w:ascii="Times New Roman" w:hAnsi="Times New Roman" w:eastAsia="宋体" w:cstheme="majorBidi"/>
      <w:b/>
      <w:bCs/>
      <w:sz w:val="24"/>
      <w:szCs w:val="32"/>
    </w:rPr>
  </w:style>
  <w:style w:type="character" w:customStyle="1" w:styleId="33">
    <w:name w:val="标题 字符"/>
    <w:basedOn w:val="25"/>
    <w:link w:val="21"/>
    <w:qFormat/>
    <w:uiPriority w:val="10"/>
    <w:rPr>
      <w:rFonts w:ascii="Times New Roman" w:hAnsi="Times New Roman" w:eastAsia="宋体" w:cstheme="majorBidi"/>
      <w:b/>
      <w:bCs/>
      <w:szCs w:val="32"/>
    </w:rPr>
  </w:style>
  <w:style w:type="character" w:customStyle="1" w:styleId="34">
    <w:name w:val="副标题 字符"/>
    <w:basedOn w:val="25"/>
    <w:link w:val="17"/>
    <w:qFormat/>
    <w:uiPriority w:val="11"/>
    <w:rPr>
      <w:rFonts w:ascii="Times New Roman" w:hAnsi="Times New Roman" w:eastAsia="宋体"/>
      <w:b/>
      <w:bCs/>
      <w:kern w:val="28"/>
      <w:sz w:val="24"/>
      <w:szCs w:val="32"/>
    </w:rPr>
  </w:style>
  <w:style w:type="character" w:customStyle="1" w:styleId="35">
    <w:name w:val="页眉 字符"/>
    <w:basedOn w:val="25"/>
    <w:link w:val="15"/>
    <w:qFormat/>
    <w:uiPriority w:val="99"/>
    <w:rPr>
      <w:rFonts w:ascii="Times New Roman" w:hAnsi="Times New Roman" w:eastAsia="宋体"/>
      <w:sz w:val="18"/>
      <w:szCs w:val="18"/>
    </w:rPr>
  </w:style>
  <w:style w:type="character" w:customStyle="1" w:styleId="36">
    <w:name w:val="页脚 字符"/>
    <w:basedOn w:val="25"/>
    <w:link w:val="14"/>
    <w:qFormat/>
    <w:uiPriority w:val="99"/>
    <w:rPr>
      <w:rFonts w:ascii="Times New Roman" w:hAnsi="Times New Roman" w:eastAsia="宋体"/>
      <w:sz w:val="18"/>
      <w:szCs w:val="18"/>
    </w:rPr>
  </w:style>
  <w:style w:type="paragraph" w:styleId="37">
    <w:name w:val="List Paragraph"/>
    <w:basedOn w:val="1"/>
    <w:qFormat/>
    <w:uiPriority w:val="34"/>
    <w:pPr>
      <w:ind w:firstLine="420"/>
    </w:pPr>
  </w:style>
  <w:style w:type="character" w:customStyle="1" w:styleId="38">
    <w:name w:val="批注框文本 字符"/>
    <w:basedOn w:val="25"/>
    <w:link w:val="13"/>
    <w:semiHidden/>
    <w:qFormat/>
    <w:uiPriority w:val="99"/>
    <w:rPr>
      <w:rFonts w:ascii="Times New Roman" w:hAnsi="Times New Roman" w:eastAsia="宋体"/>
      <w:sz w:val="18"/>
      <w:szCs w:val="18"/>
    </w:rPr>
  </w:style>
  <w:style w:type="character" w:customStyle="1" w:styleId="39">
    <w:name w:val="标题 4 字符"/>
    <w:basedOn w:val="25"/>
    <w:link w:val="5"/>
    <w:qFormat/>
    <w:uiPriority w:val="9"/>
    <w:rPr>
      <w:rFonts w:ascii="Times New Roman" w:hAnsi="Times New Roman" w:eastAsia="宋体" w:cstheme="majorBidi"/>
      <w:b/>
      <w:bCs/>
      <w:sz w:val="24"/>
      <w:szCs w:val="28"/>
    </w:rPr>
  </w:style>
  <w:style w:type="character" w:customStyle="1" w:styleId="40">
    <w:name w:val="批注文字 字符"/>
    <w:basedOn w:val="25"/>
    <w:link w:val="9"/>
    <w:semiHidden/>
    <w:qFormat/>
    <w:uiPriority w:val="99"/>
    <w:rPr>
      <w:rFonts w:ascii="Times New Roman" w:hAnsi="Times New Roman" w:eastAsia="宋体"/>
      <w:sz w:val="24"/>
    </w:rPr>
  </w:style>
  <w:style w:type="character" w:customStyle="1" w:styleId="41">
    <w:name w:val="批注主题 字符"/>
    <w:basedOn w:val="40"/>
    <w:link w:val="22"/>
    <w:semiHidden/>
    <w:qFormat/>
    <w:uiPriority w:val="99"/>
    <w:rPr>
      <w:rFonts w:ascii="Times New Roman" w:hAnsi="Times New Roman" w:eastAsia="宋体"/>
      <w:b/>
      <w:bCs/>
      <w:sz w:val="24"/>
    </w:rPr>
  </w:style>
  <w:style w:type="paragraph" w:customStyle="1" w:styleId="42">
    <w:name w:val="修订1"/>
    <w:hidden/>
    <w:semiHidden/>
    <w:qFormat/>
    <w:uiPriority w:val="99"/>
    <w:rPr>
      <w:rFonts w:ascii="Times New Roman" w:hAnsi="Times New Roman" w:eastAsia="宋体" w:cstheme="minorBidi"/>
      <w:kern w:val="2"/>
      <w:sz w:val="24"/>
      <w:szCs w:val="22"/>
      <w:lang w:val="en-US" w:eastAsia="zh-CN" w:bidi="ar-SA"/>
    </w:rPr>
  </w:style>
  <w:style w:type="paragraph" w:customStyle="1" w:styleId="43">
    <w:name w:val="正文1"/>
    <w:basedOn w:val="1"/>
    <w:link w:val="52"/>
    <w:qFormat/>
    <w:uiPriority w:val="0"/>
    <w:rPr>
      <w:lang w:val="zh-CN"/>
    </w:rPr>
  </w:style>
  <w:style w:type="paragraph" w:customStyle="1" w:styleId="44">
    <w:name w:val="表内字"/>
    <w:basedOn w:val="1"/>
    <w:qFormat/>
    <w:uiPriority w:val="0"/>
    <w:pPr>
      <w:jc w:val="center"/>
    </w:pPr>
    <w:rPr>
      <w:szCs w:val="24"/>
    </w:rPr>
  </w:style>
  <w:style w:type="paragraph" w:customStyle="1" w:styleId="45">
    <w:name w:val="Table Paragraph"/>
    <w:basedOn w:val="1"/>
    <w:qFormat/>
    <w:uiPriority w:val="1"/>
    <w:pPr>
      <w:autoSpaceDE w:val="0"/>
      <w:autoSpaceDN w:val="0"/>
      <w:spacing w:line="240" w:lineRule="auto"/>
      <w:ind w:firstLine="0"/>
      <w:jc w:val="center"/>
    </w:pPr>
    <w:rPr>
      <w:rFonts w:hAnsi="宋体" w:cs="宋体"/>
      <w:sz w:val="22"/>
      <w:lang w:val="zh-CN" w:bidi="zh-CN"/>
    </w:rPr>
  </w:style>
  <w:style w:type="character" w:customStyle="1" w:styleId="46">
    <w:name w:val="font11"/>
    <w:basedOn w:val="25"/>
    <w:qFormat/>
    <w:uiPriority w:val="0"/>
    <w:rPr>
      <w:rFonts w:hint="default" w:ascii="Times New Roman" w:hAnsi="Times New Roman" w:cs="Times New Roman"/>
      <w:color w:val="000000"/>
      <w:sz w:val="21"/>
      <w:szCs w:val="21"/>
      <w:u w:val="none"/>
    </w:rPr>
  </w:style>
  <w:style w:type="character" w:customStyle="1" w:styleId="47">
    <w:name w:val="font01"/>
    <w:basedOn w:val="25"/>
    <w:qFormat/>
    <w:uiPriority w:val="0"/>
    <w:rPr>
      <w:rFonts w:hint="eastAsia" w:ascii="宋体" w:hAnsi="宋体" w:eastAsia="宋体" w:cs="宋体"/>
      <w:color w:val="000000"/>
      <w:sz w:val="21"/>
      <w:szCs w:val="21"/>
      <w:u w:val="none"/>
    </w:rPr>
  </w:style>
  <w:style w:type="paragraph" w:customStyle="1" w:styleId="48">
    <w:name w:val="图"/>
    <w:basedOn w:val="20"/>
    <w:qFormat/>
    <w:uiPriority w:val="0"/>
    <w:pPr>
      <w:widowControl w:val="0"/>
      <w:ind w:firstLine="0"/>
      <w:jc w:val="center"/>
    </w:pPr>
    <w:rPr>
      <w:rFonts w:hAnsi="Times New Roman" w:eastAsia="Times New Roman" w:cs="Times New Roman"/>
      <w:b/>
    </w:rPr>
  </w:style>
  <w:style w:type="paragraph" w:customStyle="1" w:styleId="49">
    <w:name w:val="标题四A"/>
    <w:basedOn w:val="1"/>
    <w:qFormat/>
    <w:uiPriority w:val="0"/>
    <w:pPr>
      <w:ind w:firstLine="0"/>
      <w:outlineLvl w:val="3"/>
    </w:pPr>
    <w:rPr>
      <w:b/>
      <w:szCs w:val="24"/>
    </w:rPr>
  </w:style>
  <w:style w:type="paragraph" w:customStyle="1" w:styleId="50">
    <w:name w:val="样式3"/>
    <w:basedOn w:val="51"/>
    <w:qFormat/>
    <w:uiPriority w:val="0"/>
    <w:pPr>
      <w:spacing w:line="360" w:lineRule="auto"/>
    </w:pPr>
    <w:rPr>
      <w:snapToGrid w:val="0"/>
    </w:rPr>
  </w:style>
  <w:style w:type="paragraph" w:customStyle="1" w:styleId="51">
    <w:name w:val="标题三A"/>
    <w:basedOn w:val="4"/>
    <w:qFormat/>
    <w:uiPriority w:val="0"/>
    <w:pPr>
      <w:keepNext w:val="0"/>
      <w:keepLines w:val="0"/>
      <w:spacing w:after="0" w:line="500" w:lineRule="exact"/>
      <w:jc w:val="both"/>
    </w:pPr>
    <w:rPr>
      <w:sz w:val="28"/>
      <w:szCs w:val="28"/>
    </w:rPr>
  </w:style>
  <w:style w:type="character" w:customStyle="1" w:styleId="52">
    <w:name w:val="正文1 Char"/>
    <w:link w:val="43"/>
    <w:qFormat/>
    <w:uiPriority w:val="0"/>
    <w:rPr>
      <w:rFonts w:ascii="Times New Roman"/>
      <w:szCs w:val="22"/>
      <w:lang w:val="zh-CN"/>
    </w:rPr>
  </w:style>
  <w:style w:type="paragraph" w:customStyle="1" w:styleId="53">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4">
    <w:name w:val="正文A"/>
    <w:basedOn w:val="55"/>
    <w:qFormat/>
    <w:uiPriority w:val="0"/>
    <w:rPr>
      <w:rFonts w:ascii="Times New Roman" w:hAnsi="Times New Roman"/>
    </w:rPr>
  </w:style>
  <w:style w:type="paragraph" w:customStyle="1" w:styleId="55">
    <w:name w:val="正文!!!!!!!!!!!"/>
    <w:basedOn w:val="56"/>
    <w:qFormat/>
    <w:uiPriority w:val="0"/>
    <w:pPr>
      <w:ind w:firstLine="480"/>
    </w:pPr>
    <w:rPr>
      <w:rFonts w:ascii="华文仿宋" w:hAnsi="华文仿宋" w:eastAsia="华文仿宋" w:cs="华文仿宋"/>
    </w:rPr>
  </w:style>
  <w:style w:type="paragraph" w:customStyle="1" w:styleId="56">
    <w:name w:val="正文 楷体"/>
    <w:basedOn w:val="1"/>
    <w:qFormat/>
    <w:uiPriority w:val="0"/>
    <w:pPr>
      <w:spacing w:line="500" w:lineRule="exact"/>
    </w:pPr>
    <w:rPr>
      <w:rFonts w:ascii="楷体_GB2312" w:hAnsi="楷体_GB2312" w:eastAsia="楷体_GB2312" w:cs="宋体"/>
      <w:szCs w:val="24"/>
    </w:rPr>
  </w:style>
  <w:style w:type="paragraph" w:customStyle="1" w:styleId="57">
    <w:name w:val="正文-ls"/>
    <w:basedOn w:val="1"/>
    <w:qFormat/>
    <w:uiPriority w:val="0"/>
    <w:pPr>
      <w:spacing w:afterLines="100"/>
    </w:pPr>
    <w:rPr>
      <w:rFonts w:hAnsi="宋体"/>
    </w:rPr>
  </w:style>
  <w:style w:type="paragraph" w:customStyle="1" w:styleId="58">
    <w:name w:val="样式2"/>
    <w:basedOn w:val="59"/>
    <w:qFormat/>
    <w:uiPriority w:val="0"/>
  </w:style>
  <w:style w:type="paragraph" w:customStyle="1" w:styleId="59">
    <w:name w:val="二号标题"/>
    <w:basedOn w:val="60"/>
    <w:qFormat/>
    <w:uiPriority w:val="0"/>
  </w:style>
  <w:style w:type="paragraph" w:customStyle="1" w:styleId="60">
    <w:name w:val="标题二A"/>
    <w:basedOn w:val="1"/>
    <w:qFormat/>
    <w:uiPriority w:val="0"/>
    <w:pPr>
      <w:ind w:firstLine="0"/>
      <w:outlineLvl w:val="1"/>
    </w:pPr>
    <w:rPr>
      <w:b/>
      <w:bCs/>
      <w:sz w:val="30"/>
      <w:szCs w:val="30"/>
    </w:rPr>
  </w:style>
  <w:style w:type="paragraph" w:customStyle="1" w:styleId="61">
    <w:name w:val="表格内容"/>
    <w:basedOn w:val="6"/>
    <w:next w:val="1"/>
    <w:qFormat/>
    <w:uiPriority w:val="0"/>
    <w:pPr>
      <w:spacing w:line="240" w:lineRule="auto"/>
      <w:ind w:left="-9" w:leftChars="-9" w:firstLine="0" w:firstLineChars="0"/>
      <w:jc w:val="center"/>
    </w:pPr>
    <w:rPr>
      <w:sz w:val="21"/>
      <w:szCs w:val="20"/>
    </w:rPr>
  </w:style>
  <w:style w:type="table" w:customStyle="1" w:styleId="62">
    <w:name w:val="Table Normal"/>
    <w:unhideWhenUsed/>
    <w:qFormat/>
    <w:uiPriority w:val="0"/>
    <w:tblPr>
      <w:tblCellMar>
        <w:top w:w="0" w:type="dxa"/>
        <w:left w:w="0" w:type="dxa"/>
        <w:bottom w:w="0" w:type="dxa"/>
        <w:right w:w="0" w:type="dxa"/>
      </w:tblCellMar>
    </w:tblPr>
  </w:style>
  <w:style w:type="paragraph" w:customStyle="1" w:styleId="63">
    <w:name w:val="表头"/>
    <w:basedOn w:val="1"/>
    <w:qFormat/>
    <w:uiPriority w:val="0"/>
    <w:pPr>
      <w:spacing w:line="360" w:lineRule="auto"/>
      <w:jc w:val="left"/>
    </w:pPr>
    <w:rPr>
      <w:rFonts w:ascii="黑体" w:hAnsi="Calibri" w:eastAsia="黑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64</Pages>
  <Words>30415</Words>
  <Characters>36177</Characters>
  <Lines>256</Lines>
  <Paragraphs>72</Paragraphs>
  <TotalTime>1</TotalTime>
  <ScaleCrop>false</ScaleCrop>
  <LinksUpToDate>false</LinksUpToDate>
  <CharactersWithSpaces>36241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2019-08-20T17:57:00Z</dcterms:created>
  <dc:creator>鲍 宏岩</dc:creator>
  <cp:lastModifiedBy>L</cp:lastModifiedBy>
  <cp:lastPrinted>2022-06-22T17:18:00Z</cp:lastPrinted>
  <dcterms:modified xsi:type="dcterms:W3CDTF">2023-07-25T03:26:36Z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1EE3E9CC4E4A4954804917B45063D237_13</vt:lpwstr>
  </property>
</Properties>
</file>