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宋体" w:cs="Times New Roman"/>
          <w:b/>
          <w:bCs/>
          <w:color w:val="000000"/>
          <w:sz w:val="44"/>
          <w:szCs w:val="44"/>
          <w:highlight w:val="none"/>
          <w:lang w:eastAsia="zh-CN"/>
        </w:rPr>
      </w:pPr>
      <w:r>
        <w:rPr>
          <w:rFonts w:hint="default" w:ascii="Times New Roman" w:hAnsi="Times New Roman" w:eastAsia="宋体" w:cs="Times New Roman"/>
          <w:b/>
          <w:bCs/>
          <w:color w:val="000000"/>
          <w:sz w:val="44"/>
          <w:szCs w:val="44"/>
          <w:highlight w:val="none"/>
          <w:lang w:eastAsia="zh-CN"/>
        </w:rPr>
        <w:t>绿色装配式建筑产业园扩建项目</w:t>
      </w:r>
      <w:r>
        <w:rPr>
          <w:rFonts w:hint="default" w:ascii="Times New Roman" w:hAnsi="Times New Roman" w:eastAsia="宋体" w:cs="Times New Roman"/>
          <w:b/>
          <w:bCs/>
          <w:color w:val="000000"/>
          <w:sz w:val="44"/>
          <w:szCs w:val="44"/>
          <w:highlight w:val="none"/>
          <w:lang w:eastAsia="zh-CN"/>
        </w:rPr>
        <w:br w:type="textWrapping"/>
      </w:r>
      <w:r>
        <w:rPr>
          <w:rFonts w:hint="default" w:ascii="Times New Roman" w:hAnsi="Times New Roman" w:eastAsia="宋体" w:cs="Times New Roman"/>
          <w:b/>
          <w:bCs/>
          <w:color w:val="000000"/>
          <w:sz w:val="44"/>
          <w:szCs w:val="44"/>
          <w:highlight w:val="none"/>
        </w:rPr>
        <w:t>竣工环境保护验收监测报告</w:t>
      </w:r>
      <w:r>
        <w:rPr>
          <w:rFonts w:hint="default" w:ascii="Times New Roman" w:hAnsi="Times New Roman" w:eastAsia="宋体" w:cs="Times New Roman"/>
          <w:b/>
          <w:bCs/>
          <w:color w:val="000000"/>
          <w:sz w:val="44"/>
          <w:szCs w:val="44"/>
          <w:highlight w:val="none"/>
          <w:lang w:eastAsia="zh-CN"/>
        </w:rPr>
        <w:t>表</w:t>
      </w:r>
    </w:p>
    <w:p>
      <w:pPr>
        <w:pStyle w:val="2"/>
        <w:rPr>
          <w:rFonts w:hint="default"/>
          <w:lang w:eastAsia="zh-CN"/>
        </w:rPr>
      </w:pPr>
    </w:p>
    <w:p>
      <w:pPr>
        <w:pStyle w:val="8"/>
        <w:widowControl w:val="0"/>
        <w:numPr>
          <w:ilvl w:val="0"/>
          <w:numId w:val="0"/>
        </w:numPr>
        <w:jc w:val="both"/>
        <w:rPr>
          <w:rFonts w:hint="default" w:ascii="Times New Roman" w:hAnsi="Times New Roman" w:eastAsia="宋体" w:cs="Times New Roman"/>
          <w:b/>
          <w:bCs/>
          <w:color w:val="000000"/>
          <w:sz w:val="24"/>
          <w:highlight w:val="none"/>
          <w:lang w:eastAsia="zh-CN"/>
        </w:rPr>
      </w:pPr>
      <w:r>
        <w:rPr>
          <w:rFonts w:hint="default" w:ascii="Times New Roman" w:hAnsi="Times New Roman" w:eastAsia="宋体" w:cs="Times New Roman"/>
          <w:b/>
          <w:bCs/>
          <w:color w:val="000000"/>
          <w:sz w:val="24"/>
          <w:highlight w:val="none"/>
          <w:lang w:eastAsia="zh-CN"/>
        </w:rPr>
        <w:drawing>
          <wp:inline distT="0" distB="0" distL="114300" distR="114300">
            <wp:extent cx="5261610" cy="5864860"/>
            <wp:effectExtent l="0" t="0" r="0" b="0"/>
            <wp:docPr id="1" name="图片 1" descr="1c6f87c3ffa0c17e26f846efef609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c6f87c3ffa0c17e26f846efef6093d"/>
                    <pic:cNvPicPr>
                      <a:picLocks noChangeAspect="1"/>
                    </pic:cNvPicPr>
                  </pic:nvPicPr>
                  <pic:blipFill>
                    <a:blip r:embed="rId11"/>
                    <a:srcRect t="16401"/>
                    <a:stretch>
                      <a:fillRect/>
                    </a:stretch>
                  </pic:blipFill>
                  <pic:spPr>
                    <a:xfrm>
                      <a:off x="0" y="0"/>
                      <a:ext cx="5261610" cy="5864860"/>
                    </a:xfrm>
                    <a:prstGeom prst="rect">
                      <a:avLst/>
                    </a:prstGeom>
                  </pic:spPr>
                </pic:pic>
              </a:graphicData>
            </a:graphic>
          </wp:inline>
        </w:drawing>
      </w:r>
    </w:p>
    <w:p>
      <w:pPr>
        <w:pStyle w:val="7"/>
        <w:rPr>
          <w:rFonts w:hint="default" w:ascii="Times New Roman" w:hAnsi="Times New Roman" w:eastAsia="宋体" w:cs="Times New Roman"/>
          <w:b/>
          <w:bCs/>
          <w:color w:val="000000"/>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outlineLvl w:val="9"/>
        <w:rPr>
          <w:rFonts w:hint="default" w:ascii="Times New Roman" w:hAnsi="Times New Roman" w:eastAsia="宋体" w:cs="Times New Roman"/>
          <w:b/>
          <w:bCs/>
          <w:color w:val="000000"/>
          <w:sz w:val="28"/>
          <w:szCs w:val="28"/>
          <w:highlight w:val="none"/>
          <w:lang w:eastAsia="zh-CN"/>
        </w:rPr>
      </w:pPr>
      <w:r>
        <w:rPr>
          <w:rFonts w:hint="default" w:ascii="Times New Roman" w:hAnsi="Times New Roman" w:eastAsia="宋体" w:cs="Times New Roman"/>
          <w:b/>
          <w:bCs/>
          <w:color w:val="000000"/>
          <w:sz w:val="28"/>
          <w:szCs w:val="28"/>
          <w:highlight w:val="none"/>
          <w:lang w:val="en-US" w:eastAsia="zh-CN"/>
        </w:rPr>
        <w:t>建设单位：</w:t>
      </w:r>
      <w:r>
        <w:rPr>
          <w:rFonts w:hint="eastAsia" w:ascii="Times New Roman" w:hAnsi="Times New Roman" w:eastAsia="宋体" w:cs="Times New Roman"/>
          <w:b/>
          <w:bCs/>
          <w:color w:val="000000"/>
          <w:sz w:val="28"/>
          <w:szCs w:val="28"/>
          <w:highlight w:val="none"/>
          <w:lang w:val="en-US" w:eastAsia="zh-CN"/>
        </w:rPr>
        <w:t>好绿筑科技集团股份</w:t>
      </w:r>
      <w:r>
        <w:rPr>
          <w:rFonts w:hint="default" w:ascii="Times New Roman" w:hAnsi="Times New Roman" w:eastAsia="宋体" w:cs="Times New Roman"/>
          <w:b/>
          <w:bCs/>
          <w:color w:val="000000"/>
          <w:sz w:val="28"/>
          <w:szCs w:val="28"/>
          <w:highlight w:val="none"/>
          <w:lang w:eastAsia="zh-CN"/>
        </w:rPr>
        <w:t>公司</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outlineLvl w:val="9"/>
        <w:rPr>
          <w:rFonts w:hint="default" w:ascii="Times New Roman" w:hAnsi="Times New Roman" w:eastAsia="宋体" w:cs="Times New Roman"/>
          <w:b/>
          <w:bCs/>
          <w:color w:val="000000"/>
          <w:sz w:val="28"/>
          <w:szCs w:val="28"/>
          <w:highlight w:val="none"/>
        </w:rPr>
      </w:pPr>
      <w:r>
        <w:rPr>
          <w:rFonts w:hint="default" w:ascii="Times New Roman" w:hAnsi="Times New Roman" w:eastAsia="宋体" w:cs="Times New Roman"/>
          <w:b/>
          <w:bCs/>
          <w:color w:val="auto"/>
          <w:sz w:val="28"/>
          <w:szCs w:val="28"/>
          <w:highlight w:val="none"/>
          <w:lang w:val="en-US" w:eastAsia="zh-CN"/>
        </w:rPr>
        <w:t>编</w:t>
      </w:r>
      <w:r>
        <w:rPr>
          <w:rFonts w:hint="default" w:ascii="Times New Roman" w:hAnsi="Times New Roman" w:eastAsia="宋体" w:cs="Times New Roman"/>
          <w:b/>
          <w:bCs/>
          <w:color w:val="000000"/>
          <w:sz w:val="28"/>
          <w:szCs w:val="28"/>
          <w:highlight w:val="none"/>
        </w:rPr>
        <w:t>制单位：</w:t>
      </w:r>
      <w:r>
        <w:rPr>
          <w:rFonts w:hint="default" w:ascii="Times New Roman" w:hAnsi="Times New Roman" w:eastAsia="宋体" w:cs="Times New Roman"/>
          <w:b/>
          <w:bCs/>
          <w:color w:val="auto"/>
          <w:sz w:val="28"/>
          <w:szCs w:val="28"/>
          <w:highlight w:val="none"/>
          <w:lang w:val="en-US" w:eastAsia="zh-CN"/>
        </w:rPr>
        <w:t>新疆</w:t>
      </w:r>
      <w:r>
        <w:rPr>
          <w:rFonts w:hint="eastAsia" w:ascii="Times New Roman" w:hAnsi="Times New Roman" w:eastAsia="宋体" w:cs="Times New Roman"/>
          <w:b/>
          <w:bCs/>
          <w:color w:val="auto"/>
          <w:sz w:val="28"/>
          <w:szCs w:val="28"/>
          <w:highlight w:val="none"/>
          <w:lang w:val="en-US" w:eastAsia="zh-CN"/>
        </w:rPr>
        <w:t>中测环保科技</w:t>
      </w:r>
      <w:r>
        <w:rPr>
          <w:rFonts w:hint="default" w:ascii="Times New Roman" w:hAnsi="Times New Roman" w:eastAsia="宋体" w:cs="Times New Roman"/>
          <w:b/>
          <w:bCs/>
          <w:color w:val="auto"/>
          <w:sz w:val="28"/>
          <w:szCs w:val="28"/>
          <w:highlight w:val="none"/>
          <w:lang w:val="en-US" w:eastAsia="zh-CN"/>
        </w:rPr>
        <w:t>有限公司</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outlineLvl w:val="9"/>
        <w:rPr>
          <w:rFonts w:hint="default" w:ascii="Times New Roman" w:hAnsi="Times New Roman" w:eastAsia="宋体" w:cs="Times New Roman"/>
          <w:b/>
          <w:bCs/>
          <w:color w:val="000000"/>
          <w:sz w:val="28"/>
          <w:szCs w:val="28"/>
          <w:highlight w:val="none"/>
        </w:rPr>
      </w:pPr>
      <w:r>
        <w:rPr>
          <w:rFonts w:hint="default" w:ascii="Times New Roman" w:hAnsi="Times New Roman" w:eastAsia="宋体" w:cs="Times New Roman"/>
          <w:b/>
          <w:bCs/>
          <w:color w:val="000000"/>
          <w:sz w:val="28"/>
          <w:szCs w:val="28"/>
          <w:highlight w:val="none"/>
          <w:lang w:eastAsia="zh-CN"/>
        </w:rPr>
        <w:t>20</w:t>
      </w:r>
      <w:r>
        <w:rPr>
          <w:rFonts w:hint="default" w:ascii="Times New Roman" w:hAnsi="Times New Roman" w:eastAsia="宋体" w:cs="Times New Roman"/>
          <w:b/>
          <w:bCs/>
          <w:color w:val="000000"/>
          <w:sz w:val="28"/>
          <w:szCs w:val="28"/>
          <w:highlight w:val="none"/>
          <w:lang w:val="en-US" w:eastAsia="zh-CN"/>
        </w:rPr>
        <w:t>2</w:t>
      </w:r>
      <w:r>
        <w:rPr>
          <w:rFonts w:hint="eastAsia" w:ascii="Times New Roman" w:hAnsi="Times New Roman" w:eastAsia="宋体" w:cs="Times New Roman"/>
          <w:b/>
          <w:bCs/>
          <w:color w:val="000000"/>
          <w:sz w:val="28"/>
          <w:szCs w:val="28"/>
          <w:highlight w:val="none"/>
          <w:lang w:val="en-US" w:eastAsia="zh-CN"/>
        </w:rPr>
        <w:t>3</w:t>
      </w:r>
      <w:r>
        <w:rPr>
          <w:rFonts w:hint="default" w:ascii="Times New Roman" w:hAnsi="Times New Roman" w:eastAsia="宋体" w:cs="Times New Roman"/>
          <w:b/>
          <w:bCs/>
          <w:color w:val="000000"/>
          <w:sz w:val="28"/>
          <w:szCs w:val="28"/>
          <w:highlight w:val="none"/>
          <w:lang w:eastAsia="zh-CN"/>
        </w:rPr>
        <w:t>年</w:t>
      </w:r>
      <w:r>
        <w:rPr>
          <w:rFonts w:hint="eastAsia" w:cs="Times New Roman"/>
          <w:b/>
          <w:bCs/>
          <w:color w:val="000000"/>
          <w:sz w:val="28"/>
          <w:szCs w:val="28"/>
          <w:highlight w:val="none"/>
          <w:lang w:val="en-US" w:eastAsia="zh-CN"/>
        </w:rPr>
        <w:t>10月</w:t>
      </w:r>
      <w:r>
        <w:rPr>
          <w:rFonts w:hint="default" w:ascii="Times New Roman" w:hAnsi="Times New Roman" w:eastAsia="宋体" w:cs="Times New Roman"/>
          <w:b/>
          <w:bCs/>
          <w:color w:val="000000"/>
          <w:sz w:val="28"/>
          <w:szCs w:val="28"/>
          <w:highlight w:val="none"/>
        </w:rPr>
        <w:br w:type="page"/>
      </w:r>
    </w:p>
    <w:p>
      <w:pPr>
        <w:spacing w:line="360" w:lineRule="auto"/>
        <w:jc w:val="left"/>
        <w:rPr>
          <w:rFonts w:hint="default" w:ascii="Times New Roman" w:hAnsi="Times New Roman" w:eastAsia="宋体" w:cs="Times New Roman"/>
          <w:color w:val="000000"/>
          <w:sz w:val="28"/>
          <w:szCs w:val="28"/>
          <w:highlight w:val="none"/>
        </w:rPr>
        <w:sectPr>
          <w:headerReference r:id="rId4" w:type="first"/>
          <w:head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titlePg/>
          <w:docGrid w:type="lines" w:linePitch="312" w:charSpace="0"/>
        </w:sectPr>
      </w:pPr>
    </w:p>
    <w:p>
      <w:pPr>
        <w:spacing w:after="0" w:line="360" w:lineRule="auto"/>
        <w:rPr>
          <w:rFonts w:hint="default" w:ascii="Times New Roman" w:hAnsi="Times New Roman" w:eastAsia="宋体" w:cs="Times New Roman"/>
          <w:bCs/>
          <w:color w:val="000000"/>
          <w:sz w:val="28"/>
          <w:szCs w:val="28"/>
          <w:lang w:eastAsia="zh-CN"/>
        </w:rPr>
      </w:pPr>
      <w:r>
        <w:rPr>
          <w:rFonts w:hint="default" w:ascii="Times New Roman" w:hAnsi="Times New Roman" w:eastAsia="宋体" w:cs="Times New Roman"/>
          <w:bCs/>
          <w:color w:val="000000"/>
          <w:sz w:val="28"/>
          <w:szCs w:val="28"/>
        </w:rPr>
        <w:t>建设单位：</w:t>
      </w:r>
      <w:r>
        <w:rPr>
          <w:rFonts w:hint="eastAsia" w:ascii="Times New Roman" w:hAnsi="Times New Roman" w:eastAsia="宋体" w:cs="Times New Roman"/>
          <w:bCs/>
          <w:color w:val="000000"/>
          <w:sz w:val="28"/>
          <w:szCs w:val="28"/>
          <w:lang w:eastAsia="zh-CN"/>
        </w:rPr>
        <w:t>好绿筑科技集团股份公司</w:t>
      </w:r>
    </w:p>
    <w:p>
      <w:pPr>
        <w:spacing w:after="0" w:line="360" w:lineRule="auto"/>
        <w:rPr>
          <w:rFonts w:hint="default" w:ascii="Times New Roman" w:hAnsi="Times New Roman" w:eastAsia="宋体" w:cs="Times New Roman"/>
          <w:bCs/>
          <w:color w:val="000000"/>
          <w:sz w:val="28"/>
          <w:szCs w:val="28"/>
          <w:lang w:val="en-US" w:eastAsia="zh-CN"/>
        </w:rPr>
      </w:pPr>
      <w:r>
        <w:rPr>
          <w:rFonts w:hint="default" w:ascii="Times New Roman" w:hAnsi="Times New Roman" w:eastAsia="宋体" w:cs="Times New Roman"/>
          <w:bCs/>
          <w:color w:val="000000"/>
          <w:sz w:val="28"/>
          <w:szCs w:val="28"/>
        </w:rPr>
        <w:t>法人代</w:t>
      </w:r>
      <w:r>
        <w:rPr>
          <w:rFonts w:hint="default" w:ascii="Times New Roman" w:hAnsi="Times New Roman" w:eastAsia="宋体" w:cs="Times New Roman"/>
          <w:bCs/>
          <w:color w:val="000000"/>
          <w:sz w:val="28"/>
          <w:szCs w:val="28"/>
          <w:lang w:eastAsia="zh-CN"/>
        </w:rPr>
        <w:t>表：</w:t>
      </w:r>
      <w:r>
        <w:rPr>
          <w:rFonts w:hint="eastAsia" w:ascii="Times New Roman" w:hAnsi="Times New Roman" w:eastAsia="宋体" w:cs="Times New Roman"/>
          <w:bCs/>
          <w:color w:val="000000"/>
          <w:sz w:val="28"/>
          <w:szCs w:val="28"/>
          <w:lang w:eastAsia="zh-CN"/>
        </w:rPr>
        <w:t>高承选</w:t>
      </w:r>
    </w:p>
    <w:p>
      <w:pPr>
        <w:spacing w:after="0" w:line="360" w:lineRule="auto"/>
        <w:rPr>
          <w:rFonts w:hint="default" w:ascii="Times New Roman" w:hAnsi="Times New Roman" w:eastAsia="宋体" w:cs="Times New Roman"/>
          <w:bCs/>
          <w:color w:val="000000"/>
          <w:sz w:val="28"/>
          <w:szCs w:val="28"/>
          <w:lang w:eastAsia="zh-CN"/>
        </w:rPr>
      </w:pPr>
      <w:r>
        <w:rPr>
          <w:rFonts w:hint="default" w:ascii="Times New Roman" w:hAnsi="Times New Roman" w:eastAsia="宋体" w:cs="Times New Roman"/>
          <w:bCs/>
          <w:color w:val="000000"/>
          <w:sz w:val="28"/>
          <w:szCs w:val="28"/>
        </w:rPr>
        <w:t>编制单位：</w:t>
      </w:r>
      <w:r>
        <w:rPr>
          <w:rFonts w:hint="eastAsia" w:ascii="Times New Roman" w:hAnsi="Times New Roman" w:eastAsia="宋体" w:cs="Times New Roman"/>
          <w:bCs/>
          <w:color w:val="000000"/>
          <w:sz w:val="28"/>
          <w:szCs w:val="28"/>
          <w:lang w:eastAsia="zh-CN"/>
        </w:rPr>
        <w:t>新疆中测环保科技有限公司</w:t>
      </w:r>
    </w:p>
    <w:p>
      <w:pPr>
        <w:spacing w:after="0" w:line="360" w:lineRule="auto"/>
        <w:rPr>
          <w:rFonts w:hint="eastAsia" w:ascii="Times New Roman" w:hAnsi="Times New Roman" w:eastAsia="宋体" w:cs="Times New Roman"/>
          <w:bCs/>
          <w:color w:val="000000"/>
          <w:sz w:val="28"/>
          <w:szCs w:val="28"/>
          <w:lang w:val="en-US" w:eastAsia="zh-CN"/>
        </w:rPr>
      </w:pPr>
      <w:r>
        <w:rPr>
          <w:rFonts w:hint="default" w:ascii="Times New Roman" w:hAnsi="Times New Roman" w:eastAsia="宋体" w:cs="Times New Roman"/>
          <w:bCs/>
          <w:color w:val="000000"/>
          <w:sz w:val="28"/>
          <w:szCs w:val="28"/>
        </w:rPr>
        <w:t>法人代表：</w:t>
      </w:r>
      <w:r>
        <w:rPr>
          <w:rFonts w:hint="eastAsia" w:ascii="Times New Roman" w:hAnsi="Times New Roman" w:eastAsia="宋体" w:cs="Times New Roman"/>
          <w:bCs/>
          <w:color w:val="000000"/>
          <w:sz w:val="28"/>
          <w:szCs w:val="28"/>
          <w:lang w:val="en-US" w:eastAsia="zh-CN"/>
        </w:rPr>
        <w:t>路建康</w:t>
      </w:r>
    </w:p>
    <w:p>
      <w:pPr>
        <w:spacing w:line="360" w:lineRule="auto"/>
        <w:jc w:val="left"/>
        <w:rPr>
          <w:rFonts w:hint="eastAsia" w:ascii="Times New Roman" w:hAnsi="Times New Roman" w:eastAsia="宋体" w:cs="Times New Roman"/>
          <w:color w:val="000000"/>
          <w:sz w:val="28"/>
          <w:szCs w:val="28"/>
          <w:highlight w:val="none"/>
          <w:lang w:val="en-US" w:eastAsia="zh-CN"/>
        </w:rPr>
      </w:pPr>
      <w:r>
        <w:rPr>
          <w:rFonts w:hint="default" w:ascii="Times New Roman" w:hAnsi="Times New Roman" w:eastAsia="宋体" w:cs="Times New Roman"/>
          <w:bCs/>
          <w:color w:val="000000"/>
          <w:sz w:val="28"/>
          <w:szCs w:val="28"/>
        </w:rPr>
        <w:t>项目负责人：</w:t>
      </w:r>
      <w:r>
        <w:rPr>
          <w:rFonts w:hint="eastAsia" w:ascii="Times New Roman" w:hAnsi="Times New Roman" w:eastAsia="宋体" w:cs="Times New Roman"/>
          <w:bCs/>
          <w:color w:val="000000"/>
          <w:sz w:val="28"/>
          <w:szCs w:val="28"/>
          <w:lang w:val="en-US" w:eastAsia="zh-CN"/>
        </w:rPr>
        <w:t>赵永健</w:t>
      </w:r>
    </w:p>
    <w:p>
      <w:pPr>
        <w:spacing w:line="360" w:lineRule="auto"/>
        <w:jc w:val="left"/>
        <w:rPr>
          <w:rFonts w:hint="eastAsia" w:ascii="Times New Roman" w:hAnsi="Times New Roman" w:eastAsia="宋体" w:cs="Times New Roman"/>
          <w:color w:val="000000"/>
          <w:sz w:val="28"/>
          <w:szCs w:val="28"/>
          <w:highlight w:val="none"/>
          <w:lang w:val="en-US" w:eastAsia="zh-CN"/>
        </w:rPr>
      </w:pPr>
      <w:r>
        <w:rPr>
          <w:rFonts w:hint="default" w:ascii="Times New Roman" w:hAnsi="Times New Roman" w:eastAsia="宋体" w:cs="Times New Roman"/>
          <w:bCs/>
          <w:color w:val="000000"/>
          <w:sz w:val="28"/>
          <w:szCs w:val="28"/>
        </w:rPr>
        <w:t>编制人员：</w:t>
      </w:r>
      <w:r>
        <w:rPr>
          <w:rFonts w:hint="eastAsia" w:ascii="Times New Roman" w:hAnsi="Times New Roman" w:eastAsia="宋体" w:cs="Times New Roman"/>
          <w:bCs/>
          <w:color w:val="000000"/>
          <w:sz w:val="28"/>
          <w:szCs w:val="28"/>
          <w:lang w:val="en-US" w:eastAsia="zh-CN"/>
        </w:rPr>
        <w:t>聂立</w:t>
      </w:r>
    </w:p>
    <w:tbl>
      <w:tblPr>
        <w:tblStyle w:val="23"/>
        <w:tblpPr w:leftFromText="180" w:rightFromText="180" w:vertAnchor="text" w:horzAnchor="page" w:tblpX="1446" w:tblpY="4111"/>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20"/>
        <w:gridCol w:w="240"/>
        <w:gridCol w:w="44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620" w:type="dxa"/>
            <w:noWrap w:val="0"/>
            <w:vAlign w:val="center"/>
          </w:tcPr>
          <w:p>
            <w:pPr>
              <w:pStyle w:val="30"/>
              <w:spacing w:line="240" w:lineRule="auto"/>
              <w:ind w:left="0" w:leftChars="0" w:firstLine="0" w:firstLineChars="0"/>
              <w:jc w:val="both"/>
              <w:rPr>
                <w:rFonts w:hint="default" w:ascii="Times New Roman" w:hAnsi="Times New Roman" w:eastAsia="宋体" w:cs="Times New Roman"/>
                <w:color w:val="auto"/>
                <w:spacing w:val="0"/>
                <w:kern w:val="2"/>
                <w:sz w:val="28"/>
                <w:szCs w:val="28"/>
                <w:lang w:val="en-US" w:eastAsia="zh-CN" w:bidi="ar-SA"/>
              </w:rPr>
            </w:pPr>
            <w:r>
              <w:rPr>
                <w:rFonts w:hint="default" w:ascii="Times New Roman" w:hAnsi="Times New Roman" w:eastAsia="宋体" w:cs="Times New Roman"/>
                <w:color w:val="auto"/>
                <w:spacing w:val="0"/>
                <w:kern w:val="2"/>
                <w:sz w:val="28"/>
                <w:szCs w:val="28"/>
                <w:lang w:val="en-US" w:eastAsia="zh-CN" w:bidi="ar-SA"/>
              </w:rPr>
              <w:t>建设单位：</w:t>
            </w:r>
            <w:r>
              <w:rPr>
                <w:rFonts w:hint="eastAsia" w:ascii="Times New Roman" w:hAnsi="Times New Roman" w:eastAsia="宋体" w:cs="Times New Roman"/>
                <w:color w:val="auto"/>
                <w:spacing w:val="0"/>
                <w:kern w:val="2"/>
                <w:sz w:val="28"/>
                <w:szCs w:val="28"/>
                <w:u w:val="single"/>
                <w:lang w:val="en-US" w:eastAsia="zh-CN" w:bidi="ar-SA"/>
              </w:rPr>
              <w:t>好绿筑科技集团股份公司</w:t>
            </w:r>
            <w:r>
              <w:rPr>
                <w:rFonts w:hint="default" w:ascii="Times New Roman" w:hAnsi="Times New Roman" w:eastAsia="宋体" w:cs="Times New Roman"/>
                <w:color w:val="auto"/>
                <w:spacing w:val="0"/>
                <w:kern w:val="2"/>
                <w:sz w:val="28"/>
                <w:szCs w:val="28"/>
                <w:lang w:val="en-US" w:eastAsia="zh-CN" w:bidi="ar-SA"/>
              </w:rPr>
              <w:t>（盖章）</w:t>
            </w:r>
          </w:p>
        </w:tc>
        <w:tc>
          <w:tcPr>
            <w:tcW w:w="240" w:type="dxa"/>
            <w:vMerge w:val="restart"/>
            <w:noWrap w:val="0"/>
            <w:vAlign w:val="center"/>
          </w:tcPr>
          <w:p>
            <w:pPr>
              <w:spacing w:line="240" w:lineRule="auto"/>
              <w:rPr>
                <w:rFonts w:hint="default" w:ascii="Times New Roman" w:hAnsi="Times New Roman" w:eastAsia="宋体" w:cs="Times New Roman"/>
                <w:color w:val="auto"/>
                <w:spacing w:val="0"/>
                <w:kern w:val="2"/>
                <w:sz w:val="28"/>
                <w:szCs w:val="28"/>
                <w:lang w:val="en-US" w:eastAsia="zh-CN" w:bidi="ar-SA"/>
              </w:rPr>
            </w:pPr>
          </w:p>
        </w:tc>
        <w:tc>
          <w:tcPr>
            <w:tcW w:w="447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pacing w:val="0"/>
                <w:kern w:val="2"/>
                <w:sz w:val="28"/>
                <w:szCs w:val="28"/>
                <w:highlight w:val="yellow"/>
                <w:lang w:val="en-US" w:eastAsia="zh-CN" w:bidi="ar-SA"/>
              </w:rPr>
            </w:pPr>
            <w:r>
              <w:rPr>
                <w:rFonts w:hint="default" w:ascii="Times New Roman" w:hAnsi="Times New Roman" w:eastAsia="宋体" w:cs="Times New Roman"/>
                <w:bCs/>
                <w:color w:val="000000"/>
                <w:sz w:val="28"/>
                <w:szCs w:val="28"/>
                <w:lang w:val="en-US" w:eastAsia="zh-CN"/>
              </w:rPr>
              <w:t>编制单位：</w:t>
            </w:r>
            <w:r>
              <w:rPr>
                <w:rFonts w:hint="eastAsia" w:ascii="Times New Roman" w:hAnsi="Times New Roman" w:eastAsia="宋体" w:cs="Times New Roman"/>
                <w:bCs/>
                <w:color w:val="000000"/>
                <w:sz w:val="28"/>
                <w:szCs w:val="28"/>
                <w:lang w:val="en-US" w:eastAsia="zh-CN"/>
              </w:rPr>
              <w:t>新疆中测环保科技有限公司</w:t>
            </w:r>
            <w:r>
              <w:rPr>
                <w:rFonts w:hint="default" w:ascii="Times New Roman" w:hAnsi="Times New Roman" w:eastAsia="宋体" w:cs="Times New Roman"/>
                <w:bCs/>
                <w:color w:val="000000"/>
                <w:sz w:val="28"/>
                <w:szCs w:val="28"/>
                <w:lang w:val="en-US" w:eastAsia="zh-CN"/>
              </w:rPr>
              <w:t xml:space="preserve">  （盖章）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620" w:type="dxa"/>
            <w:noWrap w:val="0"/>
            <w:vAlign w:val="center"/>
          </w:tcPr>
          <w:p>
            <w:pPr>
              <w:pStyle w:val="30"/>
              <w:spacing w:line="240" w:lineRule="auto"/>
              <w:ind w:left="0" w:leftChars="0" w:firstLine="0" w:firstLineChars="0"/>
              <w:jc w:val="both"/>
              <w:rPr>
                <w:rFonts w:hint="default" w:ascii="Times New Roman" w:hAnsi="Times New Roman" w:eastAsia="宋体" w:cs="Times New Roman"/>
                <w:color w:val="auto"/>
                <w:spacing w:val="0"/>
                <w:kern w:val="2"/>
                <w:sz w:val="28"/>
                <w:szCs w:val="28"/>
                <w:lang w:val="en-US" w:eastAsia="zh-CN" w:bidi="ar-SA"/>
              </w:rPr>
            </w:pPr>
            <w:r>
              <w:rPr>
                <w:rFonts w:hint="default" w:ascii="Times New Roman" w:hAnsi="Times New Roman" w:eastAsia="宋体" w:cs="Times New Roman"/>
                <w:color w:val="auto"/>
                <w:spacing w:val="0"/>
                <w:kern w:val="2"/>
                <w:sz w:val="28"/>
                <w:szCs w:val="28"/>
                <w:highlight w:val="none"/>
                <w:lang w:val="en-US" w:eastAsia="zh-CN" w:bidi="ar-SA"/>
              </w:rPr>
              <w:t>电话：</w:t>
            </w:r>
            <w:r>
              <w:rPr>
                <w:rFonts w:hint="eastAsia" w:ascii="Times New Roman" w:hAnsi="Times New Roman" w:eastAsia="宋体" w:cs="Times New Roman"/>
                <w:color w:val="auto"/>
                <w:spacing w:val="0"/>
                <w:kern w:val="2"/>
                <w:sz w:val="28"/>
                <w:szCs w:val="28"/>
                <w:highlight w:val="none"/>
                <w:lang w:val="en-US" w:eastAsia="zh-CN" w:bidi="ar-SA"/>
              </w:rPr>
              <w:t>13309963973</w:t>
            </w:r>
          </w:p>
        </w:tc>
        <w:tc>
          <w:tcPr>
            <w:tcW w:w="240" w:type="dxa"/>
            <w:vMerge w:val="continue"/>
            <w:noWrap w:val="0"/>
            <w:vAlign w:val="center"/>
          </w:tcPr>
          <w:p>
            <w:pPr>
              <w:pStyle w:val="30"/>
              <w:spacing w:line="240" w:lineRule="auto"/>
              <w:jc w:val="both"/>
              <w:rPr>
                <w:rFonts w:hint="default" w:ascii="Times New Roman" w:hAnsi="Times New Roman" w:eastAsia="宋体" w:cs="Times New Roman"/>
                <w:color w:val="auto"/>
                <w:spacing w:val="0"/>
                <w:kern w:val="2"/>
                <w:sz w:val="28"/>
                <w:szCs w:val="28"/>
                <w:lang w:val="en-US" w:eastAsia="zh-CN" w:bidi="ar-SA"/>
              </w:rPr>
            </w:pPr>
          </w:p>
        </w:tc>
        <w:tc>
          <w:tcPr>
            <w:tcW w:w="447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pacing w:val="0"/>
                <w:kern w:val="2"/>
                <w:sz w:val="28"/>
                <w:szCs w:val="28"/>
                <w:u w:val="single"/>
                <w:lang w:val="en-US" w:eastAsia="zh-CN" w:bidi="ar-SA"/>
              </w:rPr>
            </w:pPr>
            <w:r>
              <w:rPr>
                <w:rFonts w:hint="default" w:ascii="Times New Roman" w:hAnsi="Times New Roman" w:eastAsia="宋体" w:cs="Times New Roman"/>
                <w:bCs/>
                <w:color w:val="auto"/>
                <w:sz w:val="28"/>
                <w:szCs w:val="28"/>
                <w:lang w:val="en-US" w:eastAsia="zh-CN"/>
              </w:rPr>
              <w:t>电话：0991-</w:t>
            </w:r>
            <w:r>
              <w:rPr>
                <w:rFonts w:hint="eastAsia" w:cs="Times New Roman"/>
                <w:bCs/>
                <w:color w:val="auto"/>
                <w:sz w:val="28"/>
                <w:szCs w:val="28"/>
                <w:lang w:val="en-US" w:eastAsia="zh-CN"/>
              </w:rPr>
              <w:t>2237601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620" w:type="dxa"/>
            <w:noWrap w:val="0"/>
            <w:vAlign w:val="center"/>
          </w:tcPr>
          <w:p>
            <w:pPr>
              <w:pStyle w:val="30"/>
              <w:spacing w:line="240" w:lineRule="auto"/>
              <w:ind w:left="0" w:leftChars="0" w:firstLine="0" w:firstLineChars="0"/>
              <w:jc w:val="both"/>
              <w:rPr>
                <w:rFonts w:hint="default" w:ascii="Times New Roman" w:hAnsi="Times New Roman" w:eastAsia="宋体" w:cs="Times New Roman"/>
                <w:color w:val="auto"/>
                <w:spacing w:val="0"/>
                <w:kern w:val="2"/>
                <w:sz w:val="28"/>
                <w:szCs w:val="28"/>
                <w:lang w:val="en-US" w:eastAsia="zh-CN" w:bidi="ar-SA"/>
              </w:rPr>
            </w:pPr>
            <w:r>
              <w:rPr>
                <w:rFonts w:hint="default" w:ascii="Times New Roman" w:hAnsi="Times New Roman" w:eastAsia="宋体" w:cs="Times New Roman"/>
                <w:color w:val="auto"/>
                <w:spacing w:val="0"/>
                <w:kern w:val="2"/>
                <w:sz w:val="28"/>
                <w:szCs w:val="28"/>
                <w:lang w:val="en-US" w:eastAsia="zh-CN" w:bidi="ar-SA"/>
              </w:rPr>
              <w:t>传真</w:t>
            </w:r>
            <w:r>
              <w:rPr>
                <w:rFonts w:hint="eastAsia" w:eastAsia="宋体" w:cs="Times New Roman"/>
                <w:color w:val="auto"/>
                <w:spacing w:val="0"/>
                <w:kern w:val="2"/>
                <w:sz w:val="28"/>
                <w:szCs w:val="28"/>
                <w:lang w:val="en-US" w:eastAsia="zh-CN" w:bidi="ar-SA"/>
              </w:rPr>
              <w:t>：</w:t>
            </w:r>
          </w:p>
        </w:tc>
        <w:tc>
          <w:tcPr>
            <w:tcW w:w="240" w:type="dxa"/>
            <w:vMerge w:val="continue"/>
            <w:noWrap w:val="0"/>
            <w:vAlign w:val="center"/>
          </w:tcPr>
          <w:p>
            <w:pPr>
              <w:pStyle w:val="30"/>
              <w:spacing w:line="240" w:lineRule="auto"/>
              <w:jc w:val="both"/>
              <w:rPr>
                <w:rFonts w:hint="default" w:ascii="Times New Roman" w:hAnsi="Times New Roman" w:eastAsia="宋体" w:cs="Times New Roman"/>
                <w:color w:val="auto"/>
                <w:spacing w:val="0"/>
                <w:kern w:val="2"/>
                <w:sz w:val="28"/>
                <w:szCs w:val="28"/>
                <w:lang w:val="en-US" w:eastAsia="zh-CN" w:bidi="ar-SA"/>
              </w:rPr>
            </w:pPr>
          </w:p>
        </w:tc>
        <w:tc>
          <w:tcPr>
            <w:tcW w:w="447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pacing w:val="0"/>
                <w:kern w:val="2"/>
                <w:sz w:val="28"/>
                <w:szCs w:val="28"/>
                <w:u w:val="single"/>
                <w:lang w:val="en-US" w:eastAsia="zh-CN" w:bidi="ar-SA"/>
              </w:rPr>
            </w:pPr>
            <w:r>
              <w:rPr>
                <w:rFonts w:hint="default" w:ascii="Times New Roman" w:hAnsi="Times New Roman" w:eastAsia="宋体" w:cs="Times New Roman"/>
                <w:bCs/>
                <w:color w:val="auto"/>
                <w:sz w:val="28"/>
                <w:szCs w:val="28"/>
                <w:lang w:val="en-US" w:eastAsia="zh-CN"/>
              </w:rPr>
              <w:t>传真：0991-</w:t>
            </w:r>
            <w:r>
              <w:rPr>
                <w:rFonts w:hint="eastAsia" w:cs="Times New Roman"/>
                <w:bCs/>
                <w:color w:val="auto"/>
                <w:sz w:val="28"/>
                <w:szCs w:val="28"/>
                <w:lang w:val="en-US" w:eastAsia="zh-CN"/>
              </w:rPr>
              <w:t>2237601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620" w:type="dxa"/>
            <w:noWrap w:val="0"/>
            <w:vAlign w:val="center"/>
          </w:tcPr>
          <w:p>
            <w:pPr>
              <w:pStyle w:val="30"/>
              <w:spacing w:line="240" w:lineRule="auto"/>
              <w:ind w:left="0" w:leftChars="0" w:firstLine="0" w:firstLineChars="0"/>
              <w:jc w:val="both"/>
              <w:rPr>
                <w:rFonts w:hint="default" w:ascii="Times New Roman" w:hAnsi="Times New Roman" w:eastAsia="宋体" w:cs="Times New Roman"/>
                <w:color w:val="auto"/>
                <w:spacing w:val="0"/>
                <w:kern w:val="2"/>
                <w:sz w:val="28"/>
                <w:szCs w:val="28"/>
                <w:lang w:val="en-US" w:eastAsia="zh-CN" w:bidi="ar-SA"/>
              </w:rPr>
            </w:pPr>
            <w:r>
              <w:rPr>
                <w:rFonts w:hint="default" w:ascii="Times New Roman" w:hAnsi="Times New Roman" w:eastAsia="宋体" w:cs="Times New Roman"/>
                <w:color w:val="auto"/>
                <w:spacing w:val="0"/>
                <w:kern w:val="2"/>
                <w:sz w:val="28"/>
                <w:szCs w:val="28"/>
                <w:lang w:val="en-US" w:eastAsia="zh-CN" w:bidi="ar-SA"/>
              </w:rPr>
              <w:t>邮编：84</w:t>
            </w:r>
            <w:r>
              <w:rPr>
                <w:rFonts w:hint="eastAsia" w:ascii="Times New Roman" w:hAnsi="Times New Roman" w:eastAsia="宋体" w:cs="Times New Roman"/>
                <w:color w:val="auto"/>
                <w:spacing w:val="0"/>
                <w:kern w:val="2"/>
                <w:sz w:val="28"/>
                <w:szCs w:val="28"/>
                <w:lang w:val="en-US" w:eastAsia="zh-CN" w:bidi="ar-SA"/>
              </w:rPr>
              <w:t>1000</w:t>
            </w:r>
          </w:p>
        </w:tc>
        <w:tc>
          <w:tcPr>
            <w:tcW w:w="240" w:type="dxa"/>
            <w:vMerge w:val="continue"/>
            <w:noWrap w:val="0"/>
            <w:vAlign w:val="center"/>
          </w:tcPr>
          <w:p>
            <w:pPr>
              <w:pStyle w:val="30"/>
              <w:spacing w:line="240" w:lineRule="auto"/>
              <w:jc w:val="both"/>
              <w:rPr>
                <w:rFonts w:hint="default" w:ascii="Times New Roman" w:hAnsi="Times New Roman" w:eastAsia="宋体" w:cs="Times New Roman"/>
                <w:color w:val="auto"/>
                <w:spacing w:val="0"/>
                <w:kern w:val="2"/>
                <w:sz w:val="28"/>
                <w:szCs w:val="28"/>
                <w:lang w:val="en-US" w:eastAsia="zh-CN" w:bidi="ar-SA"/>
              </w:rPr>
            </w:pPr>
          </w:p>
        </w:tc>
        <w:tc>
          <w:tcPr>
            <w:tcW w:w="447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pacing w:val="0"/>
                <w:kern w:val="2"/>
                <w:sz w:val="28"/>
                <w:szCs w:val="28"/>
                <w:highlight w:val="yellow"/>
                <w:lang w:val="en-US" w:eastAsia="zh-CN" w:bidi="ar-SA"/>
              </w:rPr>
            </w:pPr>
            <w:r>
              <w:rPr>
                <w:rFonts w:hint="default" w:ascii="Times New Roman" w:hAnsi="Times New Roman" w:eastAsia="宋体" w:cs="Times New Roman"/>
                <w:bCs/>
                <w:color w:val="000000"/>
                <w:sz w:val="28"/>
                <w:szCs w:val="28"/>
                <w:lang w:val="en-US" w:eastAsia="zh-CN"/>
              </w:rPr>
              <w:t>邮编：</w:t>
            </w:r>
            <w:r>
              <w:rPr>
                <w:rFonts w:hint="eastAsia" w:ascii="Times New Roman" w:hAnsi="Times New Roman" w:eastAsia="宋体" w:cs="Times New Roman"/>
                <w:bCs/>
                <w:color w:val="000000"/>
                <w:sz w:val="28"/>
                <w:szCs w:val="28"/>
                <w:lang w:val="en-US" w:eastAsia="zh-CN"/>
              </w:rPr>
              <w:t>841000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2" w:hRule="atLeast"/>
        </w:trPr>
        <w:tc>
          <w:tcPr>
            <w:tcW w:w="4620" w:type="dxa"/>
            <w:noWrap w:val="0"/>
            <w:vAlign w:val="center"/>
          </w:tcPr>
          <w:p>
            <w:pPr>
              <w:pStyle w:val="30"/>
              <w:spacing w:line="240" w:lineRule="auto"/>
              <w:ind w:left="0" w:leftChars="0" w:firstLine="0" w:firstLineChars="0"/>
              <w:jc w:val="both"/>
              <w:rPr>
                <w:rFonts w:hint="default" w:ascii="Times New Roman" w:hAnsi="Times New Roman" w:eastAsia="宋体" w:cs="Times New Roman"/>
                <w:color w:val="auto"/>
                <w:spacing w:val="0"/>
                <w:kern w:val="2"/>
                <w:sz w:val="28"/>
                <w:szCs w:val="28"/>
                <w:lang w:val="en-US" w:eastAsia="zh-CN" w:bidi="ar-SA"/>
              </w:rPr>
            </w:pPr>
            <w:r>
              <w:rPr>
                <w:rFonts w:hint="default" w:ascii="Times New Roman" w:hAnsi="Times New Roman" w:eastAsia="宋体" w:cs="Times New Roman"/>
                <w:color w:val="auto"/>
                <w:spacing w:val="0"/>
                <w:kern w:val="2"/>
                <w:sz w:val="28"/>
                <w:szCs w:val="28"/>
                <w:lang w:val="en-US" w:eastAsia="zh-CN" w:bidi="ar-SA"/>
              </w:rPr>
              <w:t>地址：</w:t>
            </w:r>
            <w:r>
              <w:rPr>
                <w:rFonts w:hint="eastAsia" w:ascii="Times New Roman" w:hAnsi="Times New Roman" w:eastAsia="宋体" w:cs="Times New Roman"/>
                <w:color w:val="auto"/>
                <w:spacing w:val="0"/>
                <w:kern w:val="2"/>
                <w:sz w:val="28"/>
                <w:szCs w:val="28"/>
                <w:lang w:val="en-US" w:eastAsia="zh-CN" w:bidi="ar-SA"/>
              </w:rPr>
              <w:t>新疆库尔勒经济技术开发区康盛路西侧</w:t>
            </w:r>
          </w:p>
        </w:tc>
        <w:tc>
          <w:tcPr>
            <w:tcW w:w="240" w:type="dxa"/>
            <w:vMerge w:val="continue"/>
            <w:noWrap w:val="0"/>
            <w:vAlign w:val="center"/>
          </w:tcPr>
          <w:p>
            <w:pPr>
              <w:pStyle w:val="30"/>
              <w:spacing w:line="240" w:lineRule="auto"/>
              <w:jc w:val="both"/>
              <w:rPr>
                <w:rFonts w:hint="default" w:ascii="Times New Roman" w:hAnsi="Times New Roman" w:eastAsia="宋体" w:cs="Times New Roman"/>
                <w:color w:val="auto"/>
                <w:spacing w:val="0"/>
                <w:kern w:val="2"/>
                <w:sz w:val="28"/>
                <w:szCs w:val="28"/>
                <w:lang w:val="en-US" w:eastAsia="zh-CN" w:bidi="ar-SA"/>
              </w:rPr>
            </w:pPr>
          </w:p>
        </w:tc>
        <w:tc>
          <w:tcPr>
            <w:tcW w:w="447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pacing w:val="0"/>
                <w:kern w:val="2"/>
                <w:sz w:val="28"/>
                <w:szCs w:val="28"/>
                <w:highlight w:val="yellow"/>
                <w:lang w:val="en-US" w:eastAsia="zh-CN" w:bidi="ar-SA"/>
              </w:rPr>
            </w:pPr>
            <w:r>
              <w:rPr>
                <w:rFonts w:hint="default" w:ascii="Times New Roman" w:hAnsi="Times New Roman" w:eastAsia="宋体" w:cs="Times New Roman"/>
                <w:bCs/>
                <w:color w:val="000000"/>
                <w:sz w:val="28"/>
                <w:szCs w:val="28"/>
                <w:lang w:val="en-US" w:eastAsia="zh-CN"/>
              </w:rPr>
              <w:t>地址：</w:t>
            </w:r>
            <w:r>
              <w:rPr>
                <w:rFonts w:hint="eastAsia" w:ascii="Times New Roman" w:hAnsi="Times New Roman" w:eastAsia="宋体" w:cs="Times New Roman"/>
                <w:bCs/>
                <w:color w:val="000000"/>
                <w:sz w:val="28"/>
                <w:szCs w:val="28"/>
                <w:lang w:val="en-US" w:eastAsia="zh-CN"/>
              </w:rPr>
              <w:t>新疆巴州库尔勒经济技术开发区人才大厦3楼</w:t>
            </w:r>
          </w:p>
        </w:tc>
      </w:tr>
    </w:tbl>
    <w:p>
      <w:pPr>
        <w:pStyle w:val="12"/>
        <w:keepNext w:val="0"/>
        <w:keepLines w:val="0"/>
        <w:pageBreakBefore w:val="0"/>
        <w:widowControl/>
        <w:kinsoku/>
        <w:wordWrap/>
        <w:overflowPunct/>
        <w:topLinePunct w:val="0"/>
        <w:autoSpaceDE/>
        <w:autoSpaceDN/>
        <w:bidi w:val="0"/>
        <w:adjustRightInd w:val="0"/>
        <w:snapToGrid w:val="0"/>
        <w:ind w:left="0" w:leftChars="0"/>
        <w:textAlignment w:val="auto"/>
        <w:rPr>
          <w:rFonts w:hint="default" w:ascii="Times New Roman" w:hAnsi="Times New Roman" w:eastAsia="宋体" w:cs="Times New Roman"/>
          <w:bCs/>
          <w:color w:val="000000"/>
          <w:kern w:val="2"/>
          <w:sz w:val="28"/>
          <w:szCs w:val="28"/>
          <w:lang w:val="en-US" w:eastAsia="zh-CN" w:bidi="ar-SA"/>
        </w:rPr>
      </w:pPr>
      <w:r>
        <w:rPr>
          <w:rFonts w:hint="default" w:ascii="Times New Roman" w:hAnsi="Times New Roman" w:eastAsia="宋体" w:cs="Times New Roman"/>
          <w:bCs/>
          <w:color w:val="000000"/>
          <w:kern w:val="2"/>
          <w:sz w:val="28"/>
          <w:szCs w:val="28"/>
          <w:lang w:val="en-US" w:eastAsia="zh-CN" w:bidi="ar-SA"/>
        </w:rPr>
        <w:t>监测单位：</w:t>
      </w:r>
      <w:r>
        <w:rPr>
          <w:rFonts w:hint="eastAsia" w:ascii="Times New Roman" w:hAnsi="Times New Roman" w:eastAsia="宋体" w:cs="Times New Roman"/>
          <w:bCs/>
          <w:color w:val="000000"/>
          <w:kern w:val="2"/>
          <w:sz w:val="28"/>
          <w:szCs w:val="28"/>
          <w:lang w:val="en-US" w:eastAsia="zh-CN" w:bidi="ar-SA"/>
        </w:rPr>
        <w:t>新疆中测测试有限责任公司</w:t>
      </w:r>
    </w:p>
    <w:p>
      <w:pPr>
        <w:rPr>
          <w:rFonts w:hint="default" w:ascii="Times New Roman" w:hAnsi="Times New Roman" w:eastAsia="宋体" w:cs="Times New Roman"/>
          <w:color w:val="000000"/>
          <w:sz w:val="24"/>
          <w:szCs w:val="24"/>
          <w:highlight w:val="none"/>
          <w:lang w:eastAsia="zh-CN"/>
        </w:rPr>
      </w:pPr>
      <w:r>
        <w:rPr>
          <w:rFonts w:hint="default" w:ascii="Times New Roman" w:hAnsi="Times New Roman" w:eastAsia="宋体" w:cs="Times New Roman"/>
          <w:color w:val="000000"/>
          <w:sz w:val="24"/>
          <w:szCs w:val="24"/>
          <w:highlight w:val="none"/>
          <w:lang w:eastAsia="zh-CN"/>
        </w:rPr>
        <w:br w:type="page"/>
      </w: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4"/>
          <w:szCs w:val="24"/>
          <w:highlight w:val="none"/>
          <w:lang w:eastAsia="zh-CN"/>
        </w:rPr>
      </w:pPr>
      <w:r>
        <w:rPr>
          <w:rFonts w:hint="default" w:ascii="Times New Roman" w:hAnsi="Times New Roman" w:eastAsia="宋体" w:cs="Times New Roman"/>
          <w:b/>
          <w:bCs/>
          <w:sz w:val="24"/>
          <w:szCs w:val="24"/>
          <w:highlight w:val="none"/>
          <w:lang w:eastAsia="zh-CN"/>
        </w:rPr>
        <w:t>附图、</w:t>
      </w:r>
      <w:r>
        <w:rPr>
          <w:rFonts w:hint="default" w:ascii="Times New Roman" w:hAnsi="Times New Roman" w:eastAsia="宋体" w:cs="Times New Roman"/>
          <w:b/>
          <w:bCs/>
          <w:sz w:val="24"/>
          <w:szCs w:val="24"/>
          <w:highlight w:val="none"/>
        </w:rPr>
        <w:t>附件</w:t>
      </w:r>
      <w:r>
        <w:rPr>
          <w:rFonts w:hint="default" w:ascii="Times New Roman" w:hAnsi="Times New Roman" w:eastAsia="宋体" w:cs="Times New Roman"/>
          <w:b/>
          <w:bCs/>
          <w:sz w:val="24"/>
          <w:szCs w:val="24"/>
          <w:highlight w:val="none"/>
          <w:lang w:eastAsia="zh-CN"/>
        </w:rPr>
        <w:t>：</w:t>
      </w: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附图1项目地理位置图</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附图</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项目</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平面布置</w:t>
      </w:r>
      <w:r>
        <w:rPr>
          <w:rFonts w:hint="default" w:ascii="Times New Roman" w:hAnsi="Times New Roman" w:eastAsia="宋体" w:cs="Times New Roman"/>
          <w:color w:val="000000" w:themeColor="text1"/>
          <w:sz w:val="24"/>
          <w:szCs w:val="24"/>
          <w:highlight w:val="none"/>
          <w14:textFill>
            <w14:solidFill>
              <w14:schemeClr w14:val="tx1"/>
            </w14:solidFill>
          </w14:textFill>
        </w:rPr>
        <w:t>图</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附件</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库尔勒经济技术开发区环境保护局</w:t>
      </w:r>
      <w:r>
        <w:rPr>
          <w:rFonts w:hint="default" w:ascii="Times New Roman" w:hAnsi="Times New Roman" w:eastAsia="宋体" w:cs="Times New Roman"/>
          <w:color w:val="auto"/>
          <w:sz w:val="24"/>
          <w:szCs w:val="24"/>
          <w:highlight w:val="none"/>
          <w:lang w:val="en-US" w:eastAsia="zh-CN"/>
        </w:rPr>
        <w:t>《关于</w:t>
      </w:r>
      <w:r>
        <w:rPr>
          <w:rFonts w:hint="eastAsia" w:ascii="Times New Roman" w:hAnsi="Times New Roman" w:eastAsia="宋体" w:cs="Times New Roman"/>
          <w:color w:val="auto"/>
          <w:sz w:val="24"/>
          <w:szCs w:val="24"/>
          <w:highlight w:val="none"/>
          <w:lang w:eastAsia="zh-CN"/>
        </w:rPr>
        <w:t>绿色装配式建筑产业园</w:t>
      </w:r>
      <w:r>
        <w:rPr>
          <w:rFonts w:hint="eastAsia" w:ascii="Times New Roman" w:hAnsi="Times New Roman" w:eastAsia="宋体" w:cs="Times New Roman"/>
          <w:color w:val="auto"/>
          <w:sz w:val="24"/>
          <w:szCs w:val="24"/>
          <w:highlight w:val="none"/>
          <w:lang w:val="en-US" w:eastAsia="zh-CN"/>
        </w:rPr>
        <w:t>建设</w:t>
      </w:r>
      <w:r>
        <w:rPr>
          <w:rFonts w:hint="eastAsia" w:ascii="Times New Roman" w:hAnsi="Times New Roman" w:eastAsia="宋体" w:cs="Times New Roman"/>
          <w:color w:val="auto"/>
          <w:sz w:val="24"/>
          <w:szCs w:val="24"/>
          <w:highlight w:val="none"/>
          <w:lang w:eastAsia="zh-CN"/>
        </w:rPr>
        <w:t>项目（</w:t>
      </w:r>
      <w:r>
        <w:rPr>
          <w:rFonts w:hint="eastAsia" w:ascii="Times New Roman" w:hAnsi="Times New Roman" w:eastAsia="宋体" w:cs="Times New Roman"/>
          <w:color w:val="auto"/>
          <w:sz w:val="24"/>
          <w:szCs w:val="24"/>
          <w:highlight w:val="none"/>
          <w:lang w:val="en-US" w:eastAsia="zh-CN"/>
        </w:rPr>
        <w:t>一期</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环境影响报告表的批复》；</w:t>
      </w:r>
    </w:p>
    <w:p>
      <w:pPr>
        <w:bidi w:val="0"/>
        <w:rPr>
          <w:rFonts w:hint="default"/>
          <w:lang w:val="en-US" w:eastAsia="zh-CN"/>
        </w:rPr>
      </w:pPr>
      <w:r>
        <w:rPr>
          <w:rFonts w:hint="eastAsia"/>
          <w:lang w:val="en-US" w:eastAsia="zh-CN"/>
        </w:rPr>
        <w:t>附件</w:t>
      </w:r>
      <w:r>
        <w:rPr>
          <w:rFonts w:hint="eastAsia"/>
          <w:color w:val="auto"/>
          <w:lang w:val="en-US" w:eastAsia="zh-CN"/>
        </w:rPr>
        <w:t>2</w:t>
      </w:r>
      <w:r>
        <w:rPr>
          <w:rFonts w:hint="eastAsia" w:ascii="Times New Roman" w:hAnsi="Times New Roman" w:eastAsia="宋体" w:cs="Times New Roman"/>
          <w:color w:val="auto"/>
          <w:sz w:val="24"/>
          <w:szCs w:val="24"/>
          <w:highlight w:val="none"/>
          <w:lang w:val="en-US" w:eastAsia="zh-CN"/>
        </w:rPr>
        <w:t>巴州生态环境局</w:t>
      </w:r>
      <w:r>
        <w:rPr>
          <w:rFonts w:hint="default" w:ascii="Times New Roman" w:hAnsi="Times New Roman" w:eastAsia="宋体" w:cs="Times New Roman"/>
          <w:color w:val="auto"/>
          <w:sz w:val="24"/>
          <w:szCs w:val="24"/>
          <w:highlight w:val="none"/>
          <w:lang w:val="en-US" w:eastAsia="zh-CN"/>
        </w:rPr>
        <w:t>《关于</w:t>
      </w:r>
      <w:r>
        <w:rPr>
          <w:rFonts w:hint="eastAsia" w:ascii="Times New Roman" w:hAnsi="Times New Roman" w:eastAsia="宋体" w:cs="Times New Roman"/>
          <w:color w:val="auto"/>
          <w:sz w:val="24"/>
          <w:szCs w:val="24"/>
          <w:highlight w:val="none"/>
          <w:lang w:eastAsia="zh-CN"/>
        </w:rPr>
        <w:t>绿色装配式建筑产业园扩建项目</w:t>
      </w:r>
      <w:r>
        <w:rPr>
          <w:rFonts w:hint="default" w:ascii="Times New Roman" w:hAnsi="Times New Roman" w:eastAsia="宋体" w:cs="Times New Roman"/>
          <w:color w:val="auto"/>
          <w:sz w:val="24"/>
          <w:szCs w:val="24"/>
          <w:highlight w:val="none"/>
          <w:lang w:val="en-US" w:eastAsia="zh-CN"/>
        </w:rPr>
        <w:t>环境影响报告表的批复》；</w:t>
      </w: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附件</w:t>
      </w:r>
      <w:r>
        <w:rPr>
          <w:rFonts w:hint="eastAsia"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排污许可登记回执；</w:t>
      </w: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附件</w:t>
      </w:r>
      <w:r>
        <w:rPr>
          <w:rFonts w:hint="eastAsia"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突发环境应急预案备案表；</w:t>
      </w: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附件</w:t>
      </w:r>
      <w:r>
        <w:rPr>
          <w:rFonts w:hint="eastAsia"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监测报告；</w:t>
      </w: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附件</w:t>
      </w:r>
      <w:r>
        <w:rPr>
          <w:rFonts w:hint="eastAsia" w:cs="Times New Roman"/>
          <w:color w:val="000000" w:themeColor="text1"/>
          <w:sz w:val="24"/>
          <w:szCs w:val="24"/>
          <w:highlight w:val="none"/>
          <w:lang w:val="en-US" w:eastAsia="zh-CN"/>
          <w14:textFill>
            <w14:solidFill>
              <w14:schemeClr w14:val="tx1"/>
            </w14:solidFill>
          </w14:textFill>
        </w:rPr>
        <w:t>6危废处置协议</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bookmarkStart w:id="21" w:name="_GoBack"/>
      <w:bookmarkEnd w:id="21"/>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附件</w:t>
      </w:r>
      <w:r>
        <w:rPr>
          <w:rFonts w:hint="eastAsia"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验收意见。</w:t>
      </w:r>
    </w:p>
    <w:p>
      <w:pPr>
        <w:pStyle w:val="34"/>
        <w:rPr>
          <w:rFonts w:hint="default" w:ascii="Times New Roman" w:hAnsi="Times New Roman" w:eastAsia="宋体" w:cs="Times New Roman"/>
          <w:lang w:eastAsia="zh-CN"/>
        </w:rPr>
      </w:pPr>
    </w:p>
    <w:p>
      <w:pPr>
        <w:pStyle w:val="30"/>
        <w:rPr>
          <w:rFonts w:hint="default" w:ascii="Times New Roman" w:hAnsi="Times New Roman" w:eastAsia="宋体" w:cs="Times New Roman"/>
          <w:lang w:eastAsia="zh-CN"/>
        </w:rPr>
      </w:pPr>
    </w:p>
    <w:p>
      <w:pPr>
        <w:pStyle w:val="30"/>
        <w:rPr>
          <w:rFonts w:hint="default" w:ascii="Times New Roman" w:hAnsi="Times New Roman" w:eastAsia="宋体" w:cs="Times New Roman"/>
          <w:lang w:eastAsia="zh-CN"/>
        </w:rPr>
      </w:pPr>
    </w:p>
    <w:p>
      <w:pP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br w:type="page"/>
      </w:r>
      <w:r>
        <w:rPr>
          <w:rFonts w:hint="default" w:ascii="Times New Roman" w:hAnsi="Times New Roman" w:eastAsia="宋体" w:cs="Times New Roman"/>
          <w:sz w:val="24"/>
          <w:szCs w:val="24"/>
          <w:highlight w:val="none"/>
          <w:lang w:eastAsia="zh-CN"/>
        </w:rPr>
        <w:drawing>
          <wp:inline distT="0" distB="0" distL="114300" distR="114300">
            <wp:extent cx="5245100" cy="7822565"/>
            <wp:effectExtent l="0" t="0" r="3175" b="6985"/>
            <wp:docPr id="4" name="图片 4" descr="现场照片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现场照片_00(1)"/>
                    <pic:cNvPicPr>
                      <a:picLocks noChangeAspect="1"/>
                    </pic:cNvPicPr>
                  </pic:nvPicPr>
                  <pic:blipFill>
                    <a:blip r:embed="rId12"/>
                    <a:srcRect l="13163" t="7993" r="13320" b="14511"/>
                    <a:stretch>
                      <a:fillRect/>
                    </a:stretch>
                  </pic:blipFill>
                  <pic:spPr>
                    <a:xfrm>
                      <a:off x="0" y="0"/>
                      <a:ext cx="5245100" cy="7822565"/>
                    </a:xfrm>
                    <a:prstGeom prst="rect">
                      <a:avLst/>
                    </a:prstGeom>
                  </pic:spPr>
                </pic:pic>
              </a:graphicData>
            </a:graphic>
          </wp:inline>
        </w:drawing>
      </w:r>
    </w:p>
    <w:p>
      <w:pPr>
        <w:pStyle w:val="3"/>
        <w:spacing w:before="0" w:after="0" w:line="240" w:lineRule="auto"/>
        <w:rPr>
          <w:rFonts w:hint="default" w:ascii="Times New Roman" w:hAnsi="Times New Roman" w:eastAsia="宋体" w:cs="Times New Roman"/>
          <w:sz w:val="24"/>
          <w:highlight w:val="none"/>
          <w:lang w:val="en-US"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3"/>
        <w:spacing w:before="0" w:after="0" w:line="240" w:lineRule="auto"/>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sz w:val="24"/>
          <w:highlight w:val="none"/>
          <w:lang w:val="en-US" w:eastAsia="zh-CN"/>
        </w:rPr>
        <w:t>表一工程概况、依据、标准</w:t>
      </w:r>
    </w:p>
    <w:tbl>
      <w:tblPr>
        <w:tblStyle w:val="23"/>
        <w:tblW w:w="8869"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2223"/>
        <w:gridCol w:w="1672"/>
        <w:gridCol w:w="2190"/>
        <w:gridCol w:w="780"/>
        <w:gridCol w:w="737"/>
        <w:gridCol w:w="126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90" w:hRule="atLeast"/>
          <w:jc w:val="center"/>
        </w:trPr>
        <w:tc>
          <w:tcPr>
            <w:tcW w:w="2223" w:type="dxa"/>
            <w:tcBorders>
              <w:tl2br w:val="nil"/>
              <w:tr2bl w:val="nil"/>
            </w:tcBorders>
            <w:vAlign w:val="center"/>
          </w:tcPr>
          <w:p>
            <w:pPr>
              <w:spacing w:after="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建设项目名称</w:t>
            </w:r>
          </w:p>
        </w:tc>
        <w:tc>
          <w:tcPr>
            <w:tcW w:w="6646" w:type="dxa"/>
            <w:gridSpan w:val="5"/>
            <w:tcBorders>
              <w:tl2br w:val="nil"/>
              <w:tr2bl w:val="nil"/>
            </w:tcBorders>
            <w:vAlign w:val="center"/>
          </w:tcPr>
          <w:p>
            <w:pPr>
              <w:spacing w:after="0"/>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绿色装配式建筑产业园扩建项目</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7" w:hRule="atLeast"/>
          <w:jc w:val="center"/>
        </w:trPr>
        <w:tc>
          <w:tcPr>
            <w:tcW w:w="2223" w:type="dxa"/>
            <w:tcBorders>
              <w:tl2br w:val="nil"/>
              <w:tr2bl w:val="nil"/>
            </w:tcBorders>
            <w:vAlign w:val="center"/>
          </w:tcPr>
          <w:p>
            <w:pPr>
              <w:spacing w:after="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建设单位名称</w:t>
            </w:r>
          </w:p>
        </w:tc>
        <w:tc>
          <w:tcPr>
            <w:tcW w:w="6646" w:type="dxa"/>
            <w:gridSpan w:val="5"/>
            <w:tcBorders>
              <w:tl2br w:val="nil"/>
              <w:tr2bl w:val="nil"/>
            </w:tcBorders>
            <w:vAlign w:val="center"/>
          </w:tcPr>
          <w:p>
            <w:pPr>
              <w:spacing w:after="0"/>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好绿筑科技集团股份公司</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7" w:hRule="atLeast"/>
          <w:jc w:val="center"/>
        </w:trPr>
        <w:tc>
          <w:tcPr>
            <w:tcW w:w="2223" w:type="dxa"/>
            <w:tcBorders>
              <w:tl2br w:val="nil"/>
              <w:tr2bl w:val="nil"/>
            </w:tcBorders>
            <w:vAlign w:val="center"/>
          </w:tcPr>
          <w:p>
            <w:pPr>
              <w:spacing w:after="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建设项目性质</w:t>
            </w:r>
          </w:p>
        </w:tc>
        <w:tc>
          <w:tcPr>
            <w:tcW w:w="6646" w:type="dxa"/>
            <w:gridSpan w:val="5"/>
            <w:tcBorders>
              <w:tl2br w:val="nil"/>
              <w:tr2bl w:val="nil"/>
            </w:tcBorders>
            <w:vAlign w:val="center"/>
          </w:tcPr>
          <w:p>
            <w:pPr>
              <w:spacing w:after="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新建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14:textFill>
                  <w14:solidFill>
                    <w14:schemeClr w14:val="tx1"/>
                  </w14:solidFill>
                </w14:textFill>
              </w:rPr>
              <w:t>改扩建√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14:textFill>
                  <w14:solidFill>
                    <w14:schemeClr w14:val="tx1"/>
                  </w14:solidFill>
                </w14:textFill>
              </w:rPr>
              <w:t>技改</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14:textFill>
                  <w14:solidFill>
                    <w14:schemeClr w14:val="tx1"/>
                  </w14:solidFill>
                </w14:textFill>
              </w:rPr>
              <w:t>迁建</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7" w:hRule="atLeast"/>
          <w:jc w:val="center"/>
        </w:trPr>
        <w:tc>
          <w:tcPr>
            <w:tcW w:w="2223" w:type="dxa"/>
            <w:tcBorders>
              <w:tl2br w:val="nil"/>
              <w:tr2bl w:val="nil"/>
            </w:tcBorders>
            <w:vAlign w:val="center"/>
          </w:tcPr>
          <w:p>
            <w:pPr>
              <w:spacing w:after="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建设地点</w:t>
            </w:r>
          </w:p>
        </w:tc>
        <w:tc>
          <w:tcPr>
            <w:tcW w:w="6646" w:type="dxa"/>
            <w:gridSpan w:val="5"/>
            <w:tcBorders>
              <w:tl2br w:val="nil"/>
              <w:tr2bl w:val="nil"/>
            </w:tcBorders>
            <w:vAlign w:val="center"/>
          </w:tcPr>
          <w:p>
            <w:pPr>
              <w:spacing w:after="0"/>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新疆库尔勒经济技术开发区康盛路西侧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90" w:hRule="atLeast"/>
          <w:jc w:val="center"/>
        </w:trPr>
        <w:tc>
          <w:tcPr>
            <w:tcW w:w="2223" w:type="dxa"/>
            <w:tcBorders>
              <w:tl2br w:val="nil"/>
              <w:tr2bl w:val="nil"/>
            </w:tcBorders>
            <w:vAlign w:val="center"/>
          </w:tcPr>
          <w:p>
            <w:pPr>
              <w:spacing w:after="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设计</w:t>
            </w:r>
            <w:r>
              <w:rPr>
                <w:rFonts w:hint="default" w:ascii="Times New Roman" w:hAnsi="Times New Roman" w:eastAsia="宋体" w:cs="Times New Roman"/>
                <w:sz w:val="24"/>
                <w:szCs w:val="24"/>
                <w:highlight w:val="none"/>
                <w:lang w:eastAsia="zh-CN"/>
              </w:rPr>
              <w:t>建设</w:t>
            </w:r>
            <w:r>
              <w:rPr>
                <w:rFonts w:hint="default" w:ascii="Times New Roman" w:hAnsi="Times New Roman" w:eastAsia="宋体" w:cs="Times New Roman"/>
                <w:sz w:val="24"/>
                <w:szCs w:val="24"/>
                <w:highlight w:val="none"/>
              </w:rPr>
              <w:t>生产能力</w:t>
            </w:r>
          </w:p>
        </w:tc>
        <w:tc>
          <w:tcPr>
            <w:tcW w:w="6646" w:type="dxa"/>
            <w:gridSpan w:val="5"/>
            <w:tcBorders>
              <w:tl2br w:val="nil"/>
              <w:tr2bl w:val="nil"/>
            </w:tcBorders>
            <w:vAlign w:val="center"/>
          </w:tcPr>
          <w:p>
            <w:pPr>
              <w:spacing w:after="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auto"/>
                <w:kern w:val="0"/>
                <w:sz w:val="24"/>
                <w:lang w:val="en-US" w:eastAsia="zh-CN"/>
              </w:rPr>
              <w:t>年产复合免拆保温模板100万m</w:t>
            </w:r>
            <w:r>
              <w:rPr>
                <w:rFonts w:hint="default" w:ascii="Times New Roman" w:hAnsi="Times New Roman" w:eastAsia="宋体" w:cs="Times New Roman"/>
                <w:color w:val="auto"/>
                <w:kern w:val="0"/>
                <w:sz w:val="24"/>
                <w:vertAlign w:val="superscript"/>
                <w:lang w:val="en-US" w:eastAsia="zh-CN"/>
              </w:rPr>
              <w:t>2</w:t>
            </w:r>
            <w:r>
              <w:rPr>
                <w:rFonts w:hint="default" w:ascii="Times New Roman" w:hAnsi="Times New Roman" w:eastAsia="宋体" w:cs="Times New Roman"/>
                <w:color w:val="auto"/>
                <w:kern w:val="0"/>
                <w:sz w:val="24"/>
                <w:lang w:val="en-US" w:eastAsia="zh-CN"/>
              </w:rPr>
              <w:t>、叠合楼板100万m</w:t>
            </w:r>
            <w:r>
              <w:rPr>
                <w:rFonts w:hint="default" w:ascii="Times New Roman" w:hAnsi="Times New Roman" w:eastAsia="宋体" w:cs="Times New Roman"/>
                <w:color w:val="auto"/>
                <w:kern w:val="0"/>
                <w:sz w:val="24"/>
                <w:vertAlign w:val="superscript"/>
                <w:lang w:val="en-US" w:eastAsia="zh-CN"/>
              </w:rPr>
              <w:t xml:space="preserve">2 </w:t>
            </w:r>
            <w:r>
              <w:rPr>
                <w:rFonts w:hint="default" w:ascii="Times New Roman" w:hAnsi="Times New Roman" w:eastAsia="宋体" w:cs="Times New Roman"/>
                <w:color w:val="auto"/>
                <w:kern w:val="0"/>
                <w:sz w:val="24"/>
                <w:lang w:val="en-US" w:eastAsia="zh-CN"/>
              </w:rPr>
              <w:t>、PC构件5万m</w:t>
            </w:r>
            <w:r>
              <w:rPr>
                <w:rFonts w:hint="default" w:ascii="Times New Roman" w:hAnsi="Times New Roman" w:eastAsia="宋体" w:cs="Times New Roman"/>
                <w:color w:val="auto"/>
                <w:kern w:val="0"/>
                <w:sz w:val="24"/>
                <w:vertAlign w:val="superscript"/>
                <w:lang w:val="en-US" w:eastAsia="zh-CN"/>
              </w:rPr>
              <w:t>3</w:t>
            </w:r>
            <w:r>
              <w:rPr>
                <w:rFonts w:hint="default" w:ascii="Times New Roman" w:hAnsi="Times New Roman" w:eastAsia="宋体" w:cs="Times New Roman"/>
                <w:color w:val="auto"/>
                <w:kern w:val="0"/>
                <w:sz w:val="24"/>
                <w:lang w:val="en-US" w:eastAsia="zh-CN"/>
              </w:rPr>
              <w:t>、商品混凝土95万m</w:t>
            </w:r>
            <w:r>
              <w:rPr>
                <w:rFonts w:hint="default" w:ascii="Times New Roman" w:hAnsi="Times New Roman" w:eastAsia="宋体" w:cs="Times New Roman"/>
                <w:color w:val="auto"/>
                <w:kern w:val="0"/>
                <w:sz w:val="24"/>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7" w:hRule="atLeast"/>
          <w:jc w:val="center"/>
        </w:trPr>
        <w:tc>
          <w:tcPr>
            <w:tcW w:w="2223" w:type="dxa"/>
            <w:tcBorders>
              <w:tl2br w:val="nil"/>
              <w:tr2bl w:val="nil"/>
            </w:tcBorders>
            <w:vAlign w:val="center"/>
          </w:tcPr>
          <w:p>
            <w:pPr>
              <w:spacing w:after="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实际</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建设</w:t>
            </w:r>
            <w:r>
              <w:rPr>
                <w:rFonts w:hint="default" w:ascii="Times New Roman" w:hAnsi="Times New Roman" w:eastAsia="宋体" w:cs="Times New Roman"/>
                <w:color w:val="000000" w:themeColor="text1"/>
                <w:sz w:val="24"/>
                <w:szCs w:val="24"/>
                <w:highlight w:val="none"/>
                <w14:textFill>
                  <w14:solidFill>
                    <w14:schemeClr w14:val="tx1"/>
                  </w14:solidFill>
                </w14:textFill>
              </w:rPr>
              <w:t>生产能力</w:t>
            </w:r>
          </w:p>
        </w:tc>
        <w:tc>
          <w:tcPr>
            <w:tcW w:w="6646" w:type="dxa"/>
            <w:gridSpan w:val="5"/>
            <w:tcBorders>
              <w:tl2br w:val="nil"/>
              <w:tr2bl w:val="nil"/>
            </w:tcBorders>
            <w:vAlign w:val="center"/>
          </w:tcPr>
          <w:p>
            <w:pPr>
              <w:spacing w:after="0"/>
              <w:jc w:val="center"/>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年产复合免拆保温模板100万m</w:t>
            </w:r>
            <w:r>
              <w:rPr>
                <w:rFonts w:hint="default" w:ascii="Times New Roman" w:hAnsi="Times New Roman" w:eastAsia="宋体" w:cs="Times New Roman"/>
                <w:color w:val="auto"/>
                <w:kern w:val="0"/>
                <w:sz w:val="24"/>
                <w:vertAlign w:val="superscript"/>
                <w:lang w:val="en-US" w:eastAsia="zh-CN"/>
              </w:rPr>
              <w:t>2</w:t>
            </w:r>
            <w:r>
              <w:rPr>
                <w:rFonts w:hint="default" w:ascii="Times New Roman" w:hAnsi="Times New Roman" w:eastAsia="宋体" w:cs="Times New Roman"/>
                <w:color w:val="auto"/>
                <w:kern w:val="0"/>
                <w:sz w:val="24"/>
                <w:lang w:val="en-US" w:eastAsia="zh-CN"/>
              </w:rPr>
              <w:t>、叠合楼板100万m</w:t>
            </w:r>
            <w:r>
              <w:rPr>
                <w:rFonts w:hint="default" w:ascii="Times New Roman" w:hAnsi="Times New Roman" w:eastAsia="宋体" w:cs="Times New Roman"/>
                <w:color w:val="auto"/>
                <w:kern w:val="0"/>
                <w:sz w:val="24"/>
                <w:vertAlign w:val="superscript"/>
                <w:lang w:val="en-US" w:eastAsia="zh-CN"/>
              </w:rPr>
              <w:t xml:space="preserve">2 </w:t>
            </w:r>
            <w:r>
              <w:rPr>
                <w:rFonts w:hint="default" w:ascii="Times New Roman" w:hAnsi="Times New Roman" w:eastAsia="宋体" w:cs="Times New Roman"/>
                <w:color w:val="auto"/>
                <w:kern w:val="0"/>
                <w:sz w:val="24"/>
                <w:lang w:val="en-US" w:eastAsia="zh-CN"/>
              </w:rPr>
              <w:t>、PC构件5万m</w:t>
            </w:r>
            <w:r>
              <w:rPr>
                <w:rFonts w:hint="default" w:ascii="Times New Roman" w:hAnsi="Times New Roman" w:eastAsia="宋体" w:cs="Times New Roman"/>
                <w:color w:val="auto"/>
                <w:kern w:val="0"/>
                <w:sz w:val="24"/>
                <w:vertAlign w:val="superscript"/>
                <w:lang w:val="en-US" w:eastAsia="zh-CN"/>
              </w:rPr>
              <w:t>3</w:t>
            </w:r>
            <w:r>
              <w:rPr>
                <w:rFonts w:hint="default" w:ascii="Times New Roman" w:hAnsi="Times New Roman" w:eastAsia="宋体" w:cs="Times New Roman"/>
                <w:color w:val="auto"/>
                <w:kern w:val="0"/>
                <w:sz w:val="24"/>
                <w:lang w:val="en-US" w:eastAsia="zh-CN"/>
              </w:rPr>
              <w:t>、商品混凝土95万m</w:t>
            </w:r>
            <w:r>
              <w:rPr>
                <w:rFonts w:hint="default" w:ascii="Times New Roman" w:hAnsi="Times New Roman" w:eastAsia="宋体" w:cs="Times New Roman"/>
                <w:color w:val="auto"/>
                <w:kern w:val="0"/>
                <w:sz w:val="24"/>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7" w:hRule="atLeast"/>
          <w:jc w:val="center"/>
        </w:trPr>
        <w:tc>
          <w:tcPr>
            <w:tcW w:w="2223" w:type="dxa"/>
            <w:tcBorders>
              <w:tl2br w:val="nil"/>
              <w:tr2bl w:val="nil"/>
            </w:tcBorders>
            <w:vAlign w:val="center"/>
          </w:tcPr>
          <w:p>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建设项目环评时间</w:t>
            </w:r>
          </w:p>
        </w:tc>
        <w:tc>
          <w:tcPr>
            <w:tcW w:w="1672" w:type="dxa"/>
            <w:tcBorders>
              <w:tl2br w:val="nil"/>
              <w:tr2bl w:val="nil"/>
            </w:tcBorders>
            <w:vAlign w:val="center"/>
          </w:tcPr>
          <w:p>
            <w:pPr>
              <w:spacing w:after="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val="en-US" w:eastAsia="zh-CN"/>
              </w:rPr>
              <w:t>20</w:t>
            </w:r>
            <w:r>
              <w:rPr>
                <w:rFonts w:hint="eastAsia" w:ascii="Times New Roman" w:hAnsi="Times New Roman" w:eastAsia="宋体" w:cs="Times New Roman"/>
                <w:color w:val="auto"/>
                <w:kern w:val="0"/>
                <w:sz w:val="24"/>
                <w:highlight w:val="none"/>
                <w:lang w:val="en-US" w:eastAsia="zh-CN"/>
              </w:rPr>
              <w:t>23</w:t>
            </w:r>
            <w:r>
              <w:rPr>
                <w:rFonts w:hint="default" w:ascii="Times New Roman" w:hAnsi="Times New Roman" w:eastAsia="宋体" w:cs="Times New Roman"/>
                <w:color w:val="auto"/>
                <w:kern w:val="0"/>
                <w:sz w:val="24"/>
                <w:highlight w:val="none"/>
              </w:rPr>
              <w:t>年</w:t>
            </w:r>
            <w:r>
              <w:rPr>
                <w:rFonts w:hint="eastAsia" w:ascii="Times New Roman" w:hAnsi="Times New Roman" w:eastAsia="宋体" w:cs="Times New Roman"/>
                <w:color w:val="auto"/>
                <w:kern w:val="0"/>
                <w:sz w:val="24"/>
                <w:highlight w:val="none"/>
                <w:lang w:val="en-US" w:eastAsia="zh-CN"/>
              </w:rPr>
              <w:t>3</w:t>
            </w:r>
            <w:r>
              <w:rPr>
                <w:rFonts w:hint="default" w:ascii="Times New Roman" w:hAnsi="Times New Roman" w:eastAsia="宋体" w:cs="Times New Roman"/>
                <w:color w:val="auto"/>
                <w:kern w:val="0"/>
                <w:sz w:val="24"/>
                <w:highlight w:val="none"/>
              </w:rPr>
              <w:t>月</w:t>
            </w:r>
          </w:p>
        </w:tc>
        <w:tc>
          <w:tcPr>
            <w:tcW w:w="2190" w:type="dxa"/>
            <w:tcBorders>
              <w:tl2br w:val="nil"/>
              <w:tr2bl w:val="nil"/>
            </w:tcBorders>
            <w:vAlign w:val="center"/>
          </w:tcPr>
          <w:p>
            <w:pPr>
              <w:spacing w:after="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开工建设时间</w:t>
            </w:r>
          </w:p>
        </w:tc>
        <w:tc>
          <w:tcPr>
            <w:tcW w:w="2784" w:type="dxa"/>
            <w:gridSpan w:val="3"/>
            <w:tcBorders>
              <w:tl2br w:val="nil"/>
              <w:tr2bl w:val="nil"/>
            </w:tcBorders>
            <w:vAlign w:val="center"/>
          </w:tcPr>
          <w:p>
            <w:pPr>
              <w:spacing w:after="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highlight w:val="none"/>
              </w:rPr>
              <w:t>20</w:t>
            </w:r>
            <w:r>
              <w:rPr>
                <w:rFonts w:hint="default" w:ascii="Times New Roman" w:hAnsi="Times New Roman" w:eastAsia="宋体" w:cs="Times New Roman"/>
                <w:color w:val="auto"/>
                <w:kern w:val="0"/>
                <w:sz w:val="24"/>
                <w:highlight w:val="none"/>
                <w:lang w:val="en-US" w:eastAsia="zh-CN"/>
              </w:rPr>
              <w:t>16</w:t>
            </w:r>
            <w:r>
              <w:rPr>
                <w:rFonts w:hint="default" w:ascii="Times New Roman" w:hAnsi="Times New Roman" w:eastAsia="宋体" w:cs="Times New Roman"/>
                <w:color w:val="auto"/>
                <w:kern w:val="0"/>
                <w:sz w:val="24"/>
                <w:highlight w:val="none"/>
              </w:rPr>
              <w:t>年</w:t>
            </w:r>
            <w:r>
              <w:rPr>
                <w:rFonts w:hint="eastAsia" w:ascii="Times New Roman" w:hAnsi="Times New Roman" w:eastAsia="宋体" w:cs="Times New Roman"/>
                <w:color w:val="auto"/>
                <w:kern w:val="0"/>
                <w:sz w:val="24"/>
                <w:highlight w:val="none"/>
                <w:lang w:val="en-US" w:eastAsia="zh-CN"/>
              </w:rPr>
              <w:t>9</w:t>
            </w:r>
            <w:r>
              <w:rPr>
                <w:rFonts w:hint="default" w:ascii="Times New Roman" w:hAnsi="Times New Roman" w:eastAsia="宋体" w:cs="Times New Roman"/>
                <w:color w:val="auto"/>
                <w:kern w:val="0"/>
                <w:sz w:val="24"/>
                <w:highlight w:val="none"/>
              </w:rPr>
              <w:t>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58" w:hRule="atLeast"/>
          <w:jc w:val="center"/>
        </w:trPr>
        <w:tc>
          <w:tcPr>
            <w:tcW w:w="2223" w:type="dxa"/>
            <w:tcBorders>
              <w:tl2br w:val="nil"/>
              <w:tr2bl w:val="nil"/>
            </w:tcBorders>
            <w:vAlign w:val="center"/>
          </w:tcPr>
          <w:p>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调试时间</w:t>
            </w:r>
          </w:p>
        </w:tc>
        <w:tc>
          <w:tcPr>
            <w:tcW w:w="1672" w:type="dxa"/>
            <w:tcBorders>
              <w:tl2br w:val="nil"/>
              <w:tr2bl w:val="nil"/>
            </w:tcBorders>
            <w:vAlign w:val="center"/>
          </w:tcPr>
          <w:p>
            <w:pPr>
              <w:spacing w:after="0"/>
              <w:jc w:val="center"/>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rPr>
              <w:t>20</w:t>
            </w:r>
            <w:r>
              <w:rPr>
                <w:rFonts w:hint="default" w:ascii="Times New Roman" w:hAnsi="Times New Roman" w:eastAsia="宋体" w:cs="Times New Roman"/>
                <w:color w:val="auto"/>
                <w:kern w:val="0"/>
                <w:sz w:val="24"/>
                <w:highlight w:val="none"/>
                <w:lang w:val="en-US" w:eastAsia="zh-CN"/>
              </w:rPr>
              <w:t>22</w:t>
            </w:r>
            <w:r>
              <w:rPr>
                <w:rFonts w:hint="default" w:ascii="Times New Roman" w:hAnsi="Times New Roman" w:eastAsia="宋体" w:cs="Times New Roman"/>
                <w:color w:val="auto"/>
                <w:kern w:val="0"/>
                <w:sz w:val="24"/>
                <w:highlight w:val="none"/>
              </w:rPr>
              <w:t>年</w:t>
            </w:r>
            <w:r>
              <w:rPr>
                <w:rFonts w:hint="eastAsia" w:ascii="Times New Roman" w:hAnsi="Times New Roman" w:eastAsia="宋体" w:cs="Times New Roman"/>
                <w:color w:val="auto"/>
                <w:kern w:val="0"/>
                <w:sz w:val="24"/>
                <w:highlight w:val="none"/>
                <w:lang w:val="en-US" w:eastAsia="zh-CN"/>
              </w:rPr>
              <w:t>5</w:t>
            </w:r>
            <w:r>
              <w:rPr>
                <w:rFonts w:hint="default" w:ascii="Times New Roman" w:hAnsi="Times New Roman" w:eastAsia="宋体" w:cs="Times New Roman"/>
                <w:color w:val="auto"/>
                <w:kern w:val="0"/>
                <w:sz w:val="24"/>
                <w:highlight w:val="none"/>
              </w:rPr>
              <w:t>月</w:t>
            </w:r>
          </w:p>
        </w:tc>
        <w:tc>
          <w:tcPr>
            <w:tcW w:w="2190" w:type="dxa"/>
            <w:tcBorders>
              <w:tl2br w:val="nil"/>
              <w:tr2bl w:val="nil"/>
            </w:tcBorders>
            <w:vAlign w:val="center"/>
          </w:tcPr>
          <w:p>
            <w:pPr>
              <w:spacing w:after="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验收现场监测时间</w:t>
            </w:r>
          </w:p>
        </w:tc>
        <w:tc>
          <w:tcPr>
            <w:tcW w:w="2784" w:type="dxa"/>
            <w:gridSpan w:val="3"/>
            <w:tcBorders>
              <w:tl2br w:val="nil"/>
              <w:tr2bl w:val="nil"/>
            </w:tcBorders>
            <w:vAlign w:val="center"/>
          </w:tcPr>
          <w:p>
            <w:pPr>
              <w:spacing w:after="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highlight w:val="none"/>
                <w:lang w:val="en-US" w:eastAsia="zh-CN"/>
              </w:rPr>
              <w:t>202</w:t>
            </w:r>
            <w:r>
              <w:rPr>
                <w:rFonts w:hint="eastAsia" w:ascii="Times New Roman" w:hAnsi="Times New Roman" w:eastAsia="宋体" w:cs="Times New Roman"/>
                <w:color w:val="auto"/>
                <w:kern w:val="0"/>
                <w:sz w:val="24"/>
                <w:highlight w:val="none"/>
                <w:lang w:val="en-US" w:eastAsia="zh-CN"/>
              </w:rPr>
              <w:t>3</w:t>
            </w:r>
            <w:r>
              <w:rPr>
                <w:rFonts w:hint="default" w:ascii="Times New Roman" w:hAnsi="Times New Roman" w:eastAsia="宋体" w:cs="Times New Roman"/>
                <w:color w:val="auto"/>
                <w:kern w:val="0"/>
                <w:sz w:val="24"/>
                <w:highlight w:val="none"/>
                <w:lang w:val="en-US" w:eastAsia="zh-CN"/>
              </w:rPr>
              <w:t>年</w:t>
            </w:r>
            <w:r>
              <w:rPr>
                <w:rFonts w:hint="eastAsia" w:ascii="Times New Roman" w:hAnsi="Times New Roman" w:eastAsia="宋体" w:cs="Times New Roman"/>
                <w:color w:val="auto"/>
                <w:kern w:val="0"/>
                <w:sz w:val="24"/>
                <w:highlight w:val="none"/>
                <w:lang w:val="en-US" w:eastAsia="zh-CN"/>
              </w:rPr>
              <w:t>8</w:t>
            </w:r>
            <w:r>
              <w:rPr>
                <w:rFonts w:hint="default" w:ascii="Times New Roman" w:hAnsi="Times New Roman" w:eastAsia="宋体" w:cs="Times New Roman"/>
                <w:color w:val="auto"/>
                <w:kern w:val="0"/>
                <w:sz w:val="24"/>
                <w:highlight w:val="none"/>
                <w:lang w:val="en-US" w:eastAsia="zh-CN"/>
              </w:rPr>
              <w:t>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849" w:hRule="atLeast"/>
          <w:jc w:val="center"/>
        </w:trPr>
        <w:tc>
          <w:tcPr>
            <w:tcW w:w="2223" w:type="dxa"/>
            <w:tcBorders>
              <w:tl2br w:val="nil"/>
              <w:tr2bl w:val="nil"/>
            </w:tcBorders>
            <w:vAlign w:val="center"/>
          </w:tcPr>
          <w:p>
            <w:pPr>
              <w:spacing w:after="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环评报告表</w:t>
            </w:r>
          </w:p>
          <w:p>
            <w:pPr>
              <w:spacing w:after="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审批部门</w:t>
            </w:r>
          </w:p>
        </w:tc>
        <w:tc>
          <w:tcPr>
            <w:tcW w:w="1672" w:type="dxa"/>
            <w:tcBorders>
              <w:tl2br w:val="nil"/>
              <w:tr2bl w:val="nil"/>
            </w:tcBorders>
            <w:vAlign w:val="center"/>
          </w:tcPr>
          <w:p>
            <w:pPr>
              <w:spacing w:after="0"/>
              <w:jc w:val="center"/>
              <w:rPr>
                <w:rFonts w:hint="default" w:ascii="Times New Roman" w:hAnsi="Times New Roman" w:eastAsia="宋体" w:cs="Times New Roman"/>
                <w:color w:val="auto"/>
                <w:sz w:val="24"/>
                <w:szCs w:val="24"/>
                <w:highlight w:val="none"/>
                <w:lang w:val="en-US"/>
              </w:rPr>
            </w:pPr>
            <w:r>
              <w:rPr>
                <w:rFonts w:hint="eastAsia" w:cs="Times New Roman"/>
                <w:color w:val="auto"/>
                <w:sz w:val="24"/>
                <w:szCs w:val="24"/>
                <w:highlight w:val="none"/>
                <w:lang w:val="en-US" w:eastAsia="zh-CN"/>
              </w:rPr>
              <w:t>巴州生态环境局</w:t>
            </w:r>
          </w:p>
        </w:tc>
        <w:tc>
          <w:tcPr>
            <w:tcW w:w="2190" w:type="dxa"/>
            <w:tcBorders>
              <w:tl2br w:val="nil"/>
              <w:tr2bl w:val="nil"/>
            </w:tcBorders>
            <w:vAlign w:val="center"/>
          </w:tcPr>
          <w:p>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环评报告表</w:t>
            </w:r>
          </w:p>
          <w:p>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编制单位</w:t>
            </w:r>
          </w:p>
        </w:tc>
        <w:tc>
          <w:tcPr>
            <w:tcW w:w="2784" w:type="dxa"/>
            <w:gridSpan w:val="3"/>
            <w:tcBorders>
              <w:tl2br w:val="nil"/>
              <w:tr2bl w:val="nil"/>
            </w:tcBorders>
            <w:vAlign w:val="center"/>
          </w:tcPr>
          <w:p>
            <w:pPr>
              <w:spacing w:after="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新疆中测环保科技有限公司</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75" w:hRule="atLeast"/>
          <w:jc w:val="center"/>
        </w:trPr>
        <w:tc>
          <w:tcPr>
            <w:tcW w:w="2223" w:type="dxa"/>
            <w:tcBorders>
              <w:tl2br w:val="nil"/>
              <w:tr2bl w:val="nil"/>
            </w:tcBorders>
            <w:vAlign w:val="center"/>
          </w:tcPr>
          <w:p>
            <w:pPr>
              <w:spacing w:after="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环保设施设计单位</w:t>
            </w:r>
          </w:p>
        </w:tc>
        <w:tc>
          <w:tcPr>
            <w:tcW w:w="1672" w:type="dxa"/>
            <w:tcBorders>
              <w:tl2br w:val="nil"/>
              <w:tr2bl w:val="nil"/>
            </w:tcBorders>
            <w:vAlign w:val="center"/>
          </w:tcPr>
          <w:p>
            <w:pPr>
              <w:spacing w:after="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2190" w:type="dxa"/>
            <w:tcBorders>
              <w:tl2br w:val="nil"/>
              <w:tr2bl w:val="nil"/>
            </w:tcBorders>
            <w:vAlign w:val="center"/>
          </w:tcPr>
          <w:p>
            <w:pPr>
              <w:spacing w:after="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环保设施施工单位</w:t>
            </w:r>
          </w:p>
        </w:tc>
        <w:tc>
          <w:tcPr>
            <w:tcW w:w="2784" w:type="dxa"/>
            <w:gridSpan w:val="3"/>
            <w:tcBorders>
              <w:tl2br w:val="nil"/>
              <w:tr2bl w:val="nil"/>
            </w:tcBorders>
            <w:vAlign w:val="center"/>
          </w:tcPr>
          <w:p>
            <w:pPr>
              <w:spacing w:after="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7" w:hRule="atLeast"/>
          <w:jc w:val="center"/>
        </w:trPr>
        <w:tc>
          <w:tcPr>
            <w:tcW w:w="2223" w:type="dxa"/>
            <w:tcBorders>
              <w:tl2br w:val="nil"/>
              <w:tr2bl w:val="nil"/>
            </w:tcBorders>
            <w:vAlign w:val="center"/>
          </w:tcPr>
          <w:p>
            <w:pPr>
              <w:spacing w:after="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投资总概算</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万元</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tc>
        <w:tc>
          <w:tcPr>
            <w:tcW w:w="1672" w:type="dxa"/>
            <w:tcBorders>
              <w:tl2br w:val="nil"/>
              <w:tr2bl w:val="nil"/>
            </w:tcBorders>
            <w:vAlign w:val="center"/>
          </w:tcPr>
          <w:p>
            <w:pPr>
              <w:spacing w:after="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10000</w:t>
            </w:r>
          </w:p>
        </w:tc>
        <w:tc>
          <w:tcPr>
            <w:tcW w:w="2190" w:type="dxa"/>
            <w:tcBorders>
              <w:tl2br w:val="nil"/>
              <w:tr2bl w:val="nil"/>
            </w:tcBorders>
            <w:vAlign w:val="center"/>
          </w:tcPr>
          <w:p>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环保投资总概算</w:t>
            </w:r>
          </w:p>
          <w:p>
            <w:pPr>
              <w:spacing w:after="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万元</w:t>
            </w:r>
            <w:r>
              <w:rPr>
                <w:rFonts w:hint="default" w:ascii="Times New Roman" w:hAnsi="Times New Roman" w:eastAsia="宋体" w:cs="Times New Roman"/>
                <w:color w:val="auto"/>
                <w:sz w:val="24"/>
                <w:szCs w:val="24"/>
                <w:highlight w:val="none"/>
                <w:lang w:eastAsia="zh-CN"/>
              </w:rPr>
              <w:t>）</w:t>
            </w:r>
          </w:p>
        </w:tc>
        <w:tc>
          <w:tcPr>
            <w:tcW w:w="780" w:type="dxa"/>
            <w:tcBorders>
              <w:tl2br w:val="nil"/>
              <w:tr2bl w:val="nil"/>
            </w:tcBorders>
            <w:vAlign w:val="center"/>
          </w:tcPr>
          <w:p>
            <w:pPr>
              <w:spacing w:after="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125</w:t>
            </w:r>
          </w:p>
        </w:tc>
        <w:tc>
          <w:tcPr>
            <w:tcW w:w="737" w:type="dxa"/>
            <w:tcBorders>
              <w:tl2br w:val="nil"/>
              <w:tr2bl w:val="nil"/>
            </w:tcBorders>
            <w:vAlign w:val="center"/>
          </w:tcPr>
          <w:p>
            <w:pPr>
              <w:spacing w:after="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比例</w:t>
            </w:r>
          </w:p>
        </w:tc>
        <w:tc>
          <w:tcPr>
            <w:tcW w:w="1267" w:type="dxa"/>
            <w:tcBorders>
              <w:tl2br w:val="nil"/>
              <w:tr2bl w:val="nil"/>
            </w:tcBorders>
            <w:vAlign w:val="center"/>
          </w:tcPr>
          <w:p>
            <w:pPr>
              <w:spacing w:after="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kern w:val="0"/>
                <w:sz w:val="24"/>
                <w:lang w:val="en-US" w:eastAsia="zh-CN"/>
              </w:rPr>
              <w:t>1.</w:t>
            </w:r>
            <w:r>
              <w:rPr>
                <w:rFonts w:hint="eastAsia" w:ascii="Times New Roman" w:hAnsi="Times New Roman" w:eastAsia="宋体" w:cs="Times New Roman"/>
                <w:kern w:val="0"/>
                <w:sz w:val="24"/>
                <w:lang w:val="en-US" w:eastAsia="zh-CN"/>
              </w:rPr>
              <w:t>25</w:t>
            </w:r>
            <w:r>
              <w:rPr>
                <w:rFonts w:hint="default" w:ascii="Times New Roman" w:hAnsi="Times New Roman" w:eastAsia="宋体" w:cs="Times New Roman"/>
                <w:kern w:val="0"/>
                <w:sz w:val="24"/>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7" w:hRule="atLeast"/>
          <w:jc w:val="center"/>
        </w:trPr>
        <w:tc>
          <w:tcPr>
            <w:tcW w:w="2223" w:type="dxa"/>
            <w:tcBorders>
              <w:tl2br w:val="nil"/>
              <w:tr2bl w:val="nil"/>
            </w:tcBorders>
            <w:vAlign w:val="center"/>
          </w:tcPr>
          <w:p>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实际总概算</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万元</w:t>
            </w:r>
            <w:r>
              <w:rPr>
                <w:rFonts w:hint="default" w:ascii="Times New Roman" w:hAnsi="Times New Roman" w:eastAsia="宋体" w:cs="Times New Roman"/>
                <w:color w:val="auto"/>
                <w:sz w:val="24"/>
                <w:szCs w:val="24"/>
                <w:highlight w:val="none"/>
                <w:lang w:eastAsia="zh-CN"/>
              </w:rPr>
              <w:t>）</w:t>
            </w:r>
          </w:p>
        </w:tc>
        <w:tc>
          <w:tcPr>
            <w:tcW w:w="1672" w:type="dxa"/>
            <w:tcBorders>
              <w:tl2br w:val="nil"/>
              <w:tr2bl w:val="nil"/>
            </w:tcBorders>
            <w:vAlign w:val="center"/>
          </w:tcPr>
          <w:p>
            <w:pPr>
              <w:spacing w:after="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10000</w:t>
            </w:r>
          </w:p>
        </w:tc>
        <w:tc>
          <w:tcPr>
            <w:tcW w:w="2190" w:type="dxa"/>
            <w:tcBorders>
              <w:tl2br w:val="nil"/>
              <w:tr2bl w:val="nil"/>
            </w:tcBorders>
            <w:vAlign w:val="center"/>
          </w:tcPr>
          <w:p>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万元</w:t>
            </w:r>
            <w:r>
              <w:rPr>
                <w:rFonts w:hint="default" w:ascii="Times New Roman" w:hAnsi="Times New Roman" w:eastAsia="宋体" w:cs="Times New Roman"/>
                <w:color w:val="auto"/>
                <w:sz w:val="24"/>
                <w:szCs w:val="24"/>
                <w:highlight w:val="none"/>
                <w:lang w:eastAsia="zh-CN"/>
              </w:rPr>
              <w:t>）</w:t>
            </w:r>
          </w:p>
        </w:tc>
        <w:tc>
          <w:tcPr>
            <w:tcW w:w="780" w:type="dxa"/>
            <w:tcBorders>
              <w:tl2br w:val="nil"/>
              <w:tr2bl w:val="nil"/>
            </w:tcBorders>
            <w:vAlign w:val="center"/>
          </w:tcPr>
          <w:p>
            <w:pPr>
              <w:spacing w:after="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125</w:t>
            </w:r>
          </w:p>
        </w:tc>
        <w:tc>
          <w:tcPr>
            <w:tcW w:w="737" w:type="dxa"/>
            <w:tcBorders>
              <w:tl2br w:val="nil"/>
              <w:tr2bl w:val="nil"/>
            </w:tcBorders>
            <w:vAlign w:val="center"/>
          </w:tcPr>
          <w:p>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比例</w:t>
            </w:r>
          </w:p>
        </w:tc>
        <w:tc>
          <w:tcPr>
            <w:tcW w:w="1267" w:type="dxa"/>
            <w:tcBorders>
              <w:tl2br w:val="nil"/>
              <w:tr2bl w:val="nil"/>
            </w:tcBorders>
            <w:vAlign w:val="center"/>
          </w:tcPr>
          <w:p>
            <w:pPr>
              <w:spacing w:after="0"/>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kern w:val="0"/>
                <w:sz w:val="24"/>
                <w:highlight w:val="none"/>
                <w:lang w:val="en-US" w:eastAsia="zh-CN"/>
              </w:rPr>
              <w:t>1.25</w:t>
            </w:r>
            <w:r>
              <w:rPr>
                <w:rFonts w:hint="default" w:ascii="Times New Roman" w:hAnsi="Times New Roman" w:eastAsia="宋体" w:cs="Times New Roman"/>
                <w:color w:val="auto"/>
                <w:kern w:val="0"/>
                <w:sz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53" w:hRule="atLeast"/>
          <w:jc w:val="center"/>
        </w:trPr>
        <w:tc>
          <w:tcPr>
            <w:tcW w:w="2223" w:type="dxa"/>
            <w:tcBorders>
              <w:tl2br w:val="nil"/>
              <w:tr2bl w:val="nil"/>
            </w:tcBorders>
            <w:vAlign w:val="center"/>
          </w:tcPr>
          <w:p>
            <w:pPr>
              <w:spacing w:after="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验收监测依据</w:t>
            </w:r>
          </w:p>
        </w:tc>
        <w:tc>
          <w:tcPr>
            <w:tcW w:w="6646"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000000"/>
                <w:sz w:val="24"/>
                <w:szCs w:val="24"/>
                <w:highlight w:val="none"/>
                <w:lang w:val="en-US" w:eastAsia="zh-CN"/>
              </w:rPr>
            </w:pPr>
            <w:r>
              <w:rPr>
                <w:rFonts w:hint="default" w:ascii="Times New Roman" w:hAnsi="Times New Roman" w:eastAsia="宋体" w:cs="Times New Roman"/>
                <w:b/>
                <w:bCs/>
                <w:color w:val="000000" w:themeColor="text1"/>
                <w:sz w:val="24"/>
                <w:highlight w:val="none"/>
                <w14:textFill>
                  <w14:solidFill>
                    <w14:schemeClr w14:val="tx1"/>
                  </w14:solidFill>
                </w14:textFill>
              </w:rPr>
              <w:t>1</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4"/>
                <w:highlight w:val="none"/>
                <w14:textFill>
                  <w14:solidFill>
                    <w14:schemeClr w14:val="tx1"/>
                  </w14:solidFill>
                </w14:textFill>
              </w:rPr>
              <w:t>法律法规及条例</w:t>
            </w:r>
          </w:p>
          <w:p>
            <w:pPr>
              <w:keepNext w:val="0"/>
              <w:keepLines w:val="0"/>
              <w:pageBreakBefore w:val="0"/>
              <w:widowControl w:val="0"/>
              <w:tabs>
                <w:tab w:val="left" w:pos="900"/>
                <w:tab w:val="left" w:pos="1332"/>
              </w:tabs>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（1）《中华人民共和国环境保护法》</w:t>
            </w:r>
            <w:r>
              <w:rPr>
                <w:rFonts w:hint="default" w:ascii="Times New Roman" w:hAnsi="Times New Roman" w:eastAsia="宋体" w:cs="Times New Roman"/>
                <w:color w:val="000000"/>
                <w:sz w:val="24"/>
                <w:szCs w:val="24"/>
                <w:highlight w:val="none"/>
                <w:lang w:val="en-US" w:eastAsia="zh-CN"/>
              </w:rPr>
              <w:t>，2015年1月1日实施</w:t>
            </w:r>
            <w:r>
              <w:rPr>
                <w:rFonts w:hint="eastAsia" w:ascii="Times New Roman" w:hAnsi="Times New Roman" w:eastAsia="宋体" w:cs="Times New Roman"/>
                <w:color w:val="000000"/>
                <w:sz w:val="24"/>
                <w:szCs w:val="24"/>
                <w:highlight w:val="none"/>
                <w:lang w:val="en-US" w:eastAsia="zh-CN"/>
              </w:rPr>
              <w:t>；</w:t>
            </w:r>
          </w:p>
          <w:p>
            <w:pPr>
              <w:keepNext w:val="0"/>
              <w:keepLines w:val="0"/>
              <w:pageBreakBefore w:val="0"/>
              <w:widowControl w:val="0"/>
              <w:tabs>
                <w:tab w:val="left" w:pos="900"/>
                <w:tab w:val="left" w:pos="1332"/>
              </w:tabs>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（2）《中华人民共和国环境影响评价法》（2018年12月29日第十三届全国人民代表大会常务委员会第七次会议《关于修改〈中华人民共和国劳动法〉等七部法律的决定》第二次修正），2018年12月29日；</w:t>
            </w:r>
          </w:p>
          <w:p>
            <w:pPr>
              <w:keepNext w:val="0"/>
              <w:keepLines w:val="0"/>
              <w:pageBreakBefore w:val="0"/>
              <w:widowControl w:val="0"/>
              <w:tabs>
                <w:tab w:val="left" w:pos="900"/>
                <w:tab w:val="left" w:pos="1332"/>
              </w:tabs>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（3）</w:t>
            </w:r>
            <w:r>
              <w:rPr>
                <w:rFonts w:hint="default" w:ascii="Times New Roman" w:hAnsi="Times New Roman" w:eastAsia="宋体" w:cs="Times New Roman"/>
                <w:color w:val="000000"/>
                <w:sz w:val="24"/>
                <w:szCs w:val="24"/>
                <w:highlight w:val="none"/>
                <w:lang w:val="en-US" w:eastAsia="zh-CN"/>
              </w:rPr>
              <w:t>《中华人民共和国大气污染防治法》中华人民共和国主席令第32号）2018年修正，2018年10月26日施行</w:t>
            </w:r>
          </w:p>
          <w:p>
            <w:pPr>
              <w:keepNext w:val="0"/>
              <w:keepLines w:val="0"/>
              <w:pageBreakBefore w:val="0"/>
              <w:widowControl w:val="0"/>
              <w:tabs>
                <w:tab w:val="left" w:pos="900"/>
                <w:tab w:val="left" w:pos="1332"/>
              </w:tabs>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w:t>
            </w:r>
            <w:r>
              <w:rPr>
                <w:rFonts w:hint="eastAsia" w:ascii="Times New Roman" w:hAnsi="Times New Roman" w:eastAsia="宋体" w:cs="Times New Roman"/>
                <w:color w:val="000000"/>
                <w:sz w:val="24"/>
                <w:szCs w:val="24"/>
                <w:highlight w:val="none"/>
                <w:lang w:val="en-US" w:eastAsia="zh-CN"/>
              </w:rPr>
              <w:t>4</w:t>
            </w:r>
            <w:r>
              <w:rPr>
                <w:rFonts w:hint="default" w:ascii="Times New Roman" w:hAnsi="Times New Roman" w:eastAsia="宋体" w:cs="Times New Roman"/>
                <w:color w:val="000000"/>
                <w:sz w:val="24"/>
                <w:szCs w:val="24"/>
                <w:highlight w:val="none"/>
                <w:lang w:val="en-US" w:eastAsia="zh-CN"/>
              </w:rPr>
              <w:t>）中华人民共和国国务院682号令《建设项目环境保护管理条例》，2017年10月1日；</w:t>
            </w:r>
          </w:p>
          <w:p>
            <w:pPr>
              <w:keepNext w:val="0"/>
              <w:keepLines w:val="0"/>
              <w:pageBreakBefore w:val="0"/>
              <w:widowControl w:val="0"/>
              <w:tabs>
                <w:tab w:val="left" w:pos="900"/>
                <w:tab w:val="left" w:pos="1332"/>
              </w:tabs>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w:t>
            </w:r>
            <w:r>
              <w:rPr>
                <w:rFonts w:hint="eastAsia" w:ascii="Times New Roman" w:hAnsi="Times New Roman" w:eastAsia="宋体" w:cs="Times New Roman"/>
                <w:color w:val="000000"/>
                <w:sz w:val="24"/>
                <w:szCs w:val="24"/>
                <w:highlight w:val="none"/>
                <w:lang w:val="en-US" w:eastAsia="zh-CN"/>
              </w:rPr>
              <w:t>5</w:t>
            </w:r>
            <w:r>
              <w:rPr>
                <w:rFonts w:hint="default" w:ascii="Times New Roman" w:hAnsi="Times New Roman" w:eastAsia="宋体" w:cs="Times New Roman"/>
                <w:color w:val="000000"/>
                <w:sz w:val="24"/>
                <w:szCs w:val="24"/>
                <w:highlight w:val="none"/>
                <w:lang w:val="en-US" w:eastAsia="zh-CN"/>
              </w:rPr>
              <w:t>）《建设项目竣工环境保护验收暂行办法》，国环规环评[2017]4号，2017年11月20日；</w:t>
            </w:r>
          </w:p>
          <w:p>
            <w:pPr>
              <w:pStyle w:val="7"/>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sz w:val="24"/>
                <w:highlight w:val="none"/>
                <w:lang w:eastAsia="zh-CN"/>
              </w:rPr>
              <w:t>（</w:t>
            </w:r>
            <w:r>
              <w:rPr>
                <w:rFonts w:hint="eastAsia" w:ascii="Times New Roman" w:hAnsi="Times New Roman" w:eastAsia="宋体" w:cs="Times New Roman"/>
                <w:sz w:val="24"/>
                <w:highlight w:val="none"/>
                <w:lang w:val="en-US" w:eastAsia="zh-CN"/>
              </w:rPr>
              <w:t>6</w:t>
            </w:r>
            <w:r>
              <w:rPr>
                <w:rFonts w:hint="default" w:ascii="Times New Roman" w:hAnsi="Times New Roman" w:eastAsia="宋体" w:cs="Times New Roman"/>
                <w:sz w:val="24"/>
                <w:highlight w:val="none"/>
                <w:lang w:eastAsia="zh-CN"/>
              </w:rPr>
              <w:t>）</w:t>
            </w:r>
            <w:r>
              <w:rPr>
                <w:rFonts w:hint="default" w:ascii="Times New Roman" w:hAnsi="Times New Roman" w:eastAsia="宋体" w:cs="Times New Roman"/>
                <w:sz w:val="24"/>
                <w:highlight w:val="none"/>
              </w:rPr>
              <w:t>《建设项目竣工环境保护验收技</w:t>
            </w:r>
            <w:r>
              <w:rPr>
                <w:rFonts w:hint="default" w:ascii="Times New Roman" w:hAnsi="Times New Roman" w:eastAsia="宋体" w:cs="Times New Roman"/>
                <w:color w:val="000000" w:themeColor="text1"/>
                <w:sz w:val="24"/>
                <w:highlight w:val="none"/>
                <w14:textFill>
                  <w14:solidFill>
                    <w14:schemeClr w14:val="tx1"/>
                  </w14:solidFill>
                </w14:textFill>
              </w:rPr>
              <w:t>术指南污染影响类》，生态环境部2018年第9号告，2018年5月16日</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p>
          <w:p>
            <w:pPr>
              <w:keepNext w:val="0"/>
              <w:keepLines w:val="0"/>
              <w:pageBreakBefore w:val="0"/>
              <w:widowControl w:val="0"/>
              <w:tabs>
                <w:tab w:val="left" w:pos="900"/>
                <w:tab w:val="left" w:pos="1332"/>
              </w:tabs>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w:t>
            </w:r>
            <w:r>
              <w:rPr>
                <w:rFonts w:hint="eastAsia" w:ascii="Times New Roman" w:hAnsi="Times New Roman" w:eastAsia="宋体" w:cs="Times New Roman"/>
                <w:kern w:val="2"/>
                <w:sz w:val="24"/>
                <w:szCs w:val="24"/>
                <w:highlight w:val="none"/>
                <w:lang w:val="en-US" w:eastAsia="zh-CN" w:bidi="ar-SA"/>
              </w:rPr>
              <w:t>7</w:t>
            </w:r>
            <w:r>
              <w:rPr>
                <w:rFonts w:hint="default" w:ascii="Times New Roman" w:hAnsi="Times New Roman" w:eastAsia="宋体" w:cs="Times New Roman"/>
                <w:kern w:val="2"/>
                <w:sz w:val="24"/>
                <w:szCs w:val="24"/>
                <w:highlight w:val="none"/>
                <w:lang w:val="en-US" w:eastAsia="zh-CN" w:bidi="ar-SA"/>
              </w:rPr>
              <w:t>）《中华人民共和国噪声污染防治法》</w:t>
            </w:r>
            <w:r>
              <w:rPr>
                <w:rFonts w:hint="eastAsia" w:ascii="Times New Roman" w:hAnsi="Times New Roman" w:eastAsia="宋体" w:cs="Times New Roman"/>
                <w:kern w:val="2"/>
                <w:sz w:val="24"/>
                <w:szCs w:val="24"/>
                <w:highlight w:val="none"/>
                <w:lang w:val="en-US" w:eastAsia="zh-CN" w:bidi="ar-SA"/>
              </w:rPr>
              <w:t>（</w:t>
            </w:r>
            <w:r>
              <w:rPr>
                <w:rFonts w:hint="default" w:ascii="Times New Roman" w:hAnsi="Times New Roman" w:eastAsia="宋体" w:cs="Times New Roman"/>
                <w:kern w:val="2"/>
                <w:sz w:val="24"/>
                <w:szCs w:val="24"/>
                <w:highlight w:val="none"/>
                <w:lang w:val="en-US" w:eastAsia="zh-CN" w:bidi="ar-SA"/>
              </w:rPr>
              <w:t>中华人民共和国主席令第一〇四号</w:t>
            </w:r>
            <w:r>
              <w:rPr>
                <w:rFonts w:hint="eastAsia" w:ascii="Times New Roman" w:hAnsi="Times New Roman" w:eastAsia="宋体" w:cs="Times New Roman"/>
                <w:kern w:val="2"/>
                <w:sz w:val="24"/>
                <w:szCs w:val="24"/>
                <w:highlight w:val="none"/>
                <w:lang w:val="en-US" w:eastAsia="zh-CN" w:bidi="ar-SA"/>
              </w:rPr>
              <w:t>，2022年6月5日起施行）</w:t>
            </w:r>
          </w:p>
          <w:p>
            <w:pPr>
              <w:keepNext w:val="0"/>
              <w:keepLines w:val="0"/>
              <w:pageBreakBefore w:val="0"/>
              <w:widowControl w:val="0"/>
              <w:tabs>
                <w:tab w:val="left" w:pos="900"/>
                <w:tab w:val="left" w:pos="1332"/>
              </w:tabs>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w:t>
            </w:r>
            <w:r>
              <w:rPr>
                <w:rFonts w:hint="eastAsia" w:ascii="Times New Roman" w:hAnsi="Times New Roman" w:eastAsia="宋体" w:cs="Times New Roman"/>
                <w:kern w:val="2"/>
                <w:sz w:val="24"/>
                <w:szCs w:val="24"/>
                <w:highlight w:val="none"/>
                <w:lang w:val="en-US" w:eastAsia="zh-CN" w:bidi="ar-SA"/>
              </w:rPr>
              <w:t>8</w:t>
            </w:r>
            <w:r>
              <w:rPr>
                <w:rFonts w:hint="default" w:ascii="Times New Roman" w:hAnsi="Times New Roman" w:eastAsia="宋体" w:cs="Times New Roman"/>
                <w:kern w:val="2"/>
                <w:sz w:val="24"/>
                <w:szCs w:val="24"/>
                <w:highlight w:val="none"/>
                <w:lang w:val="en-US" w:eastAsia="zh-CN" w:bidi="ar-SA"/>
              </w:rPr>
              <w:t>）《中华人民共和国固体废物污染环境防治法》（2020年4月29日第十三届全国人民代表大会常务委员会第十七次会议第二次修订，2020年9月1日起施行）；</w:t>
            </w:r>
          </w:p>
          <w:p>
            <w:pPr>
              <w:keepNext w:val="0"/>
              <w:keepLines w:val="0"/>
              <w:pageBreakBefore w:val="0"/>
              <w:widowControl w:val="0"/>
              <w:tabs>
                <w:tab w:val="left" w:pos="900"/>
                <w:tab w:val="left" w:pos="1332"/>
              </w:tabs>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w:t>
            </w:r>
            <w:r>
              <w:rPr>
                <w:rFonts w:hint="eastAsia" w:ascii="Times New Roman" w:hAnsi="Times New Roman" w:eastAsia="宋体" w:cs="Times New Roman"/>
                <w:kern w:val="2"/>
                <w:sz w:val="24"/>
                <w:szCs w:val="24"/>
                <w:highlight w:val="none"/>
                <w:lang w:val="en-US" w:eastAsia="zh-CN" w:bidi="ar-SA"/>
              </w:rPr>
              <w:t>9</w:t>
            </w:r>
            <w:r>
              <w:rPr>
                <w:rFonts w:hint="default" w:ascii="Times New Roman" w:hAnsi="Times New Roman" w:eastAsia="宋体" w:cs="Times New Roman"/>
                <w:kern w:val="2"/>
                <w:sz w:val="24"/>
                <w:szCs w:val="24"/>
                <w:highlight w:val="none"/>
                <w:lang w:val="en-US" w:eastAsia="zh-CN" w:bidi="ar-SA"/>
              </w:rPr>
              <w:t>）《关于印发环评管理中部分行业建设项目重大变动清单的通知》（环办</w:t>
            </w:r>
            <w:r>
              <w:rPr>
                <w:rFonts w:hint="eastAsia" w:ascii="Times New Roman" w:hAnsi="Times New Roman" w:eastAsia="宋体" w:cs="Times New Roman"/>
                <w:kern w:val="2"/>
                <w:sz w:val="24"/>
                <w:szCs w:val="24"/>
                <w:highlight w:val="none"/>
                <w:lang w:val="en-US" w:eastAsia="zh-CN" w:bidi="ar-SA"/>
              </w:rPr>
              <w:t>〔</w:t>
            </w:r>
            <w:r>
              <w:rPr>
                <w:rFonts w:hint="default" w:ascii="Times New Roman" w:hAnsi="Times New Roman" w:eastAsia="宋体" w:cs="Times New Roman"/>
                <w:kern w:val="2"/>
                <w:sz w:val="24"/>
                <w:szCs w:val="24"/>
                <w:highlight w:val="none"/>
                <w:lang w:val="en-US" w:eastAsia="zh-CN" w:bidi="ar-SA"/>
              </w:rPr>
              <w:t>2015</w:t>
            </w:r>
            <w:r>
              <w:rPr>
                <w:rFonts w:hint="eastAsia" w:ascii="Times New Roman" w:hAnsi="Times New Roman" w:eastAsia="宋体" w:cs="Times New Roman"/>
                <w:kern w:val="2"/>
                <w:sz w:val="24"/>
                <w:szCs w:val="24"/>
                <w:highlight w:val="none"/>
                <w:lang w:val="en-US" w:eastAsia="zh-CN" w:bidi="ar-SA"/>
              </w:rPr>
              <w:t>〕</w:t>
            </w:r>
            <w:r>
              <w:rPr>
                <w:rFonts w:hint="default" w:ascii="Times New Roman" w:hAnsi="Times New Roman" w:eastAsia="宋体" w:cs="Times New Roman"/>
                <w:kern w:val="2"/>
                <w:sz w:val="24"/>
                <w:szCs w:val="24"/>
                <w:highlight w:val="none"/>
                <w:lang w:val="en-US" w:eastAsia="zh-CN" w:bidi="ar-SA"/>
              </w:rPr>
              <w:t>52号，2015年6月4日）；</w:t>
            </w:r>
          </w:p>
          <w:p>
            <w:pPr>
              <w:pStyle w:val="7"/>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w:t>
            </w:r>
            <w:r>
              <w:rPr>
                <w:rFonts w:hint="eastAsia" w:ascii="Times New Roman" w:hAnsi="Times New Roman" w:eastAsia="宋体" w:cs="Times New Roman"/>
                <w:kern w:val="2"/>
                <w:sz w:val="24"/>
                <w:szCs w:val="24"/>
                <w:highlight w:val="none"/>
                <w:lang w:val="en-US" w:eastAsia="zh-CN" w:bidi="ar-SA"/>
              </w:rPr>
              <w:t>10</w:t>
            </w:r>
            <w:r>
              <w:rPr>
                <w:rFonts w:hint="default" w:ascii="Times New Roman" w:hAnsi="Times New Roman" w:eastAsia="宋体" w:cs="Times New Roman"/>
                <w:kern w:val="2"/>
                <w:sz w:val="24"/>
                <w:szCs w:val="24"/>
                <w:highlight w:val="none"/>
                <w:lang w:val="en-US" w:eastAsia="zh-CN" w:bidi="ar-SA"/>
              </w:rPr>
              <w:t>）关于印发《新疆维吾尔自治区环境影响评价管理中建设项目重大变动界定程序规定》的通知（新环环评发</w:t>
            </w:r>
            <w:r>
              <w:rPr>
                <w:rFonts w:hint="eastAsia" w:ascii="Times New Roman" w:hAnsi="Times New Roman" w:eastAsia="宋体" w:cs="Times New Roman"/>
                <w:kern w:val="2"/>
                <w:sz w:val="24"/>
                <w:szCs w:val="24"/>
                <w:highlight w:val="none"/>
                <w:lang w:val="en-US" w:eastAsia="zh-CN" w:bidi="ar-SA"/>
              </w:rPr>
              <w:t>〔</w:t>
            </w:r>
            <w:r>
              <w:rPr>
                <w:rFonts w:hint="default" w:ascii="Times New Roman" w:hAnsi="Times New Roman" w:eastAsia="宋体" w:cs="Times New Roman"/>
                <w:kern w:val="2"/>
                <w:sz w:val="24"/>
                <w:szCs w:val="24"/>
                <w:highlight w:val="none"/>
                <w:lang w:val="en-US" w:eastAsia="zh-CN" w:bidi="ar-SA"/>
              </w:rPr>
              <w:t>2019</w:t>
            </w:r>
            <w:r>
              <w:rPr>
                <w:rFonts w:hint="eastAsia" w:ascii="Times New Roman" w:hAnsi="Times New Roman" w:eastAsia="宋体" w:cs="Times New Roman"/>
                <w:kern w:val="2"/>
                <w:sz w:val="24"/>
                <w:szCs w:val="24"/>
                <w:highlight w:val="none"/>
                <w:lang w:val="en-US" w:eastAsia="zh-CN" w:bidi="ar-SA"/>
              </w:rPr>
              <w:t>〕</w:t>
            </w:r>
            <w:r>
              <w:rPr>
                <w:rFonts w:hint="default" w:ascii="Times New Roman" w:hAnsi="Times New Roman" w:eastAsia="宋体" w:cs="Times New Roman"/>
                <w:kern w:val="2"/>
                <w:sz w:val="24"/>
                <w:szCs w:val="24"/>
                <w:highlight w:val="none"/>
                <w:lang w:val="en-US" w:eastAsia="zh-CN" w:bidi="ar-SA"/>
              </w:rPr>
              <w:t>140号）。</w:t>
            </w:r>
          </w:p>
          <w:p>
            <w:pPr>
              <w:pStyle w:val="7"/>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w:t>
            </w:r>
            <w:r>
              <w:rPr>
                <w:rFonts w:hint="eastAsia" w:ascii="Times New Roman" w:hAnsi="Times New Roman" w:eastAsia="宋体" w:cs="Times New Roman"/>
                <w:kern w:val="2"/>
                <w:sz w:val="24"/>
                <w:szCs w:val="24"/>
                <w:highlight w:val="none"/>
                <w:lang w:val="en-US" w:eastAsia="zh-CN" w:bidi="ar-SA"/>
              </w:rPr>
              <w:t>11</w:t>
            </w:r>
            <w:r>
              <w:rPr>
                <w:rFonts w:hint="default" w:ascii="Times New Roman" w:hAnsi="Times New Roman" w:eastAsia="宋体" w:cs="Times New Roman"/>
                <w:kern w:val="2"/>
                <w:sz w:val="24"/>
                <w:szCs w:val="24"/>
                <w:highlight w:val="none"/>
                <w:lang w:val="en-US" w:eastAsia="zh-CN" w:bidi="ar-SA"/>
              </w:rPr>
              <w:t>）关于印发《污染影响建设项目重大变动清单（试行的通知）》（</w:t>
            </w:r>
            <w:r>
              <w:rPr>
                <w:rFonts w:hint="default" w:ascii="Times New Roman" w:hAnsi="Times New Roman" w:eastAsia="宋体" w:cs="Times New Roman"/>
                <w:i w:val="0"/>
                <w:iCs w:val="0"/>
                <w:caps w:val="0"/>
                <w:color w:val="000000"/>
                <w:spacing w:val="0"/>
                <w:sz w:val="24"/>
                <w:szCs w:val="24"/>
                <w:shd w:val="clear" w:color="auto" w:fill="FFFFFF"/>
              </w:rPr>
              <w:t>环办环评函〔2020〕688号</w:t>
            </w:r>
            <w:r>
              <w:rPr>
                <w:rFonts w:hint="default" w:ascii="Times New Roman" w:hAnsi="Times New Roman" w:eastAsia="宋体" w:cs="Times New Roman"/>
                <w:i w:val="0"/>
                <w:iCs w:val="0"/>
                <w:caps w:val="0"/>
                <w:color w:val="000000"/>
                <w:spacing w:val="0"/>
                <w:sz w:val="24"/>
                <w:szCs w:val="24"/>
                <w:shd w:val="clear" w:color="auto" w:fill="FFFFFF"/>
                <w:lang w:eastAsia="zh-CN"/>
              </w:rPr>
              <w:t>，</w:t>
            </w:r>
            <w:r>
              <w:rPr>
                <w:rFonts w:hint="default" w:ascii="Times New Roman" w:hAnsi="Times New Roman" w:eastAsia="宋体" w:cs="Times New Roman"/>
                <w:i w:val="0"/>
                <w:iCs w:val="0"/>
                <w:caps w:val="0"/>
                <w:color w:val="000000"/>
                <w:spacing w:val="0"/>
                <w:sz w:val="24"/>
                <w:szCs w:val="24"/>
                <w:shd w:val="clear" w:color="auto" w:fill="FFFFFF"/>
              </w:rPr>
              <w:t>生态环境部办公厅</w:t>
            </w:r>
            <w:r>
              <w:rPr>
                <w:rFonts w:hint="default" w:ascii="Times New Roman" w:hAnsi="Times New Roman" w:eastAsia="宋体" w:cs="Times New Roman"/>
                <w:kern w:val="2"/>
                <w:sz w:val="24"/>
                <w:szCs w:val="24"/>
                <w:highlight w:val="none"/>
                <w:lang w:val="en-US" w:eastAsia="zh-CN" w:bidi="ar-SA"/>
              </w:rPr>
              <w:t>）。</w:t>
            </w:r>
          </w:p>
          <w:p>
            <w:pPr>
              <w:pStyle w:val="7"/>
              <w:keepNext w:val="0"/>
              <w:keepLines w:val="0"/>
              <w:pageBreakBefore w:val="0"/>
              <w:widowControl w:val="0"/>
              <w:kinsoku/>
              <w:wordWrap/>
              <w:overflowPunct/>
              <w:topLinePunct w:val="0"/>
              <w:autoSpaceDE/>
              <w:autoSpaceDN/>
              <w:bidi w:val="0"/>
              <w:spacing w:after="0" w:line="360" w:lineRule="auto"/>
              <w:ind w:firstLine="482" w:firstLineChars="200"/>
              <w:textAlignment w:val="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1.2、相关文件及资料</w:t>
            </w:r>
          </w:p>
          <w:p>
            <w:pPr>
              <w:keepNext w:val="0"/>
              <w:keepLines w:val="0"/>
              <w:pageBreakBefore w:val="0"/>
              <w:widowControl w:val="0"/>
              <w:tabs>
                <w:tab w:val="left" w:pos="900"/>
                <w:tab w:val="left" w:pos="1332"/>
              </w:tabs>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新疆中测环保科技有限公司</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eastAsia="zh-CN"/>
              </w:rPr>
              <w:t>绿色装配式建筑产业园扩建项目</w:t>
            </w:r>
            <w:r>
              <w:rPr>
                <w:rFonts w:hint="default" w:ascii="Times New Roman" w:hAnsi="Times New Roman" w:eastAsia="宋体" w:cs="Times New Roman"/>
                <w:color w:val="auto"/>
                <w:sz w:val="24"/>
                <w:szCs w:val="24"/>
                <w:highlight w:val="none"/>
                <w:lang w:val="en-US" w:eastAsia="zh-CN"/>
              </w:rPr>
              <w:t>环境影响报告表》</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w:t>
            </w:r>
            <w:r>
              <w:rPr>
                <w:rFonts w:hint="eastAsia"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月；</w:t>
            </w:r>
          </w:p>
          <w:p>
            <w:pPr>
              <w:keepNext w:val="0"/>
              <w:keepLines w:val="0"/>
              <w:pageBreakBefore w:val="0"/>
              <w:widowControl w:val="0"/>
              <w:tabs>
                <w:tab w:val="left" w:pos="900"/>
                <w:tab w:val="left" w:pos="1332"/>
              </w:tabs>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lang w:val="en-US" w:eastAsia="zh-CN"/>
              </w:rPr>
            </w:pP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库尔勒经济技术开发区环境保护局</w:t>
            </w:r>
            <w:r>
              <w:rPr>
                <w:rFonts w:hint="default" w:ascii="Times New Roman" w:hAnsi="Times New Roman" w:eastAsia="宋体" w:cs="Times New Roman"/>
                <w:color w:val="auto"/>
                <w:sz w:val="24"/>
                <w:szCs w:val="24"/>
                <w:highlight w:val="none"/>
                <w:lang w:val="en-US" w:eastAsia="zh-CN"/>
              </w:rPr>
              <w:t>《关于</w:t>
            </w:r>
            <w:r>
              <w:rPr>
                <w:rFonts w:hint="eastAsia" w:ascii="Times New Roman" w:hAnsi="Times New Roman" w:eastAsia="宋体" w:cs="Times New Roman"/>
                <w:color w:val="auto"/>
                <w:sz w:val="24"/>
                <w:szCs w:val="24"/>
                <w:highlight w:val="none"/>
                <w:lang w:eastAsia="zh-CN"/>
              </w:rPr>
              <w:t>绿色装配式建筑产业园</w:t>
            </w:r>
            <w:r>
              <w:rPr>
                <w:rFonts w:hint="eastAsia" w:ascii="Times New Roman" w:hAnsi="Times New Roman" w:eastAsia="宋体" w:cs="Times New Roman"/>
                <w:color w:val="auto"/>
                <w:sz w:val="24"/>
                <w:szCs w:val="24"/>
                <w:highlight w:val="none"/>
                <w:lang w:val="en-US" w:eastAsia="zh-CN"/>
              </w:rPr>
              <w:t>建设</w:t>
            </w:r>
            <w:r>
              <w:rPr>
                <w:rFonts w:hint="eastAsia" w:ascii="Times New Roman" w:hAnsi="Times New Roman" w:eastAsia="宋体" w:cs="Times New Roman"/>
                <w:color w:val="auto"/>
                <w:sz w:val="24"/>
                <w:szCs w:val="24"/>
                <w:highlight w:val="none"/>
                <w:lang w:eastAsia="zh-CN"/>
              </w:rPr>
              <w:t>项目（</w:t>
            </w:r>
            <w:r>
              <w:rPr>
                <w:rFonts w:hint="eastAsia" w:ascii="Times New Roman" w:hAnsi="Times New Roman" w:eastAsia="宋体" w:cs="Times New Roman"/>
                <w:color w:val="auto"/>
                <w:sz w:val="24"/>
                <w:szCs w:val="24"/>
                <w:highlight w:val="none"/>
                <w:lang w:val="en-US" w:eastAsia="zh-CN"/>
              </w:rPr>
              <w:t>一期</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环境影响报告表的批复》，</w:t>
            </w:r>
            <w:r>
              <w:rPr>
                <w:rFonts w:hint="eastAsia" w:ascii="Times New Roman" w:hAnsi="Times New Roman" w:eastAsia="宋体" w:cs="Times New Roman"/>
                <w:color w:val="auto"/>
                <w:sz w:val="24"/>
                <w:szCs w:val="24"/>
                <w:highlight w:val="none"/>
                <w:lang w:val="en-US" w:eastAsia="zh-CN"/>
              </w:rPr>
              <w:t>库开</w:t>
            </w:r>
            <w:r>
              <w:rPr>
                <w:rFonts w:hint="default" w:ascii="Times New Roman" w:hAnsi="Times New Roman" w:eastAsia="宋体" w:cs="Times New Roman"/>
                <w:color w:val="auto"/>
                <w:sz w:val="24"/>
                <w:szCs w:val="24"/>
                <w:highlight w:val="none"/>
                <w:lang w:val="en-US" w:eastAsia="zh-CN"/>
              </w:rPr>
              <w:t>环</w:t>
            </w:r>
            <w:r>
              <w:rPr>
                <w:rFonts w:hint="eastAsia" w:ascii="Times New Roman" w:hAnsi="Times New Roman" w:eastAsia="宋体" w:cs="Times New Roman"/>
                <w:color w:val="auto"/>
                <w:sz w:val="24"/>
                <w:szCs w:val="24"/>
                <w:highlight w:val="none"/>
                <w:lang w:val="en-US" w:eastAsia="zh-CN"/>
              </w:rPr>
              <w:t>评价函</w:t>
            </w:r>
            <w:r>
              <w:rPr>
                <w:rFonts w:hint="default" w:ascii="Times New Roman" w:hAnsi="Times New Roman" w:eastAsia="宋体" w:cs="Times New Roman"/>
                <w:color w:val="auto"/>
                <w:sz w:val="24"/>
                <w:szCs w:val="24"/>
                <w:highlight w:val="none"/>
                <w:lang w:val="en-US" w:eastAsia="zh-CN"/>
              </w:rPr>
              <w:t>〔20</w:t>
            </w:r>
            <w:r>
              <w:rPr>
                <w:rFonts w:hint="eastAsia"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号，</w:t>
            </w:r>
            <w:r>
              <w:rPr>
                <w:rFonts w:hint="eastAsia" w:ascii="Times New Roman" w:hAnsi="Times New Roman" w:eastAsia="宋体" w:cs="Times New Roman"/>
                <w:color w:val="auto"/>
                <w:sz w:val="24"/>
                <w:szCs w:val="24"/>
                <w:highlight w:val="none"/>
                <w:lang w:val="en-US" w:eastAsia="zh-CN"/>
              </w:rPr>
              <w:t>2021</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eastAsia="宋体"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lang w:val="en-US" w:eastAsia="zh-CN"/>
              </w:rPr>
              <w:t>日；</w:t>
            </w:r>
          </w:p>
          <w:p>
            <w:pPr>
              <w:keepNext w:val="0"/>
              <w:keepLines w:val="0"/>
              <w:pageBreakBefore w:val="0"/>
              <w:widowControl w:val="0"/>
              <w:tabs>
                <w:tab w:val="left" w:pos="900"/>
                <w:tab w:val="left" w:pos="1332"/>
              </w:tabs>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3</w:t>
            </w:r>
            <w:r>
              <w:rPr>
                <w:rFonts w:hint="default" w:ascii="Times New Roman" w:hAnsi="Times New Roman" w:eastAsia="宋体" w:cs="Times New Roman"/>
                <w:sz w:val="24"/>
                <w:lang w:eastAsia="zh-CN"/>
              </w:rPr>
              <w:t>）</w:t>
            </w:r>
            <w:r>
              <w:rPr>
                <w:rFonts w:hint="eastAsia" w:eastAsia="宋体" w:cs="Times New Roman"/>
                <w:sz w:val="24"/>
                <w:lang w:val="en-US" w:eastAsia="zh-CN"/>
              </w:rPr>
              <w:t>巴州生态环境局</w:t>
            </w:r>
            <w:r>
              <w:rPr>
                <w:rFonts w:hint="default" w:ascii="Times New Roman" w:hAnsi="Times New Roman" w:eastAsia="宋体" w:cs="Times New Roman"/>
                <w:color w:val="auto"/>
                <w:sz w:val="24"/>
                <w:szCs w:val="24"/>
                <w:highlight w:val="none"/>
                <w:lang w:val="en-US" w:eastAsia="zh-CN"/>
              </w:rPr>
              <w:t>《关于</w:t>
            </w:r>
            <w:r>
              <w:rPr>
                <w:rFonts w:hint="eastAsia" w:ascii="Times New Roman" w:hAnsi="Times New Roman" w:eastAsia="宋体" w:cs="Times New Roman"/>
                <w:color w:val="auto"/>
                <w:sz w:val="24"/>
                <w:szCs w:val="24"/>
                <w:highlight w:val="none"/>
                <w:lang w:eastAsia="zh-CN"/>
              </w:rPr>
              <w:t>绿色装配式建筑产业园</w:t>
            </w:r>
            <w:r>
              <w:rPr>
                <w:rFonts w:hint="eastAsia" w:ascii="Times New Roman" w:hAnsi="Times New Roman" w:eastAsia="宋体" w:cs="Times New Roman"/>
                <w:color w:val="auto"/>
                <w:sz w:val="24"/>
                <w:szCs w:val="24"/>
                <w:highlight w:val="none"/>
                <w:lang w:val="en-US" w:eastAsia="zh-CN"/>
              </w:rPr>
              <w:t>扩建项目</w:t>
            </w:r>
            <w:r>
              <w:rPr>
                <w:rFonts w:hint="default" w:ascii="Times New Roman" w:hAnsi="Times New Roman" w:eastAsia="宋体" w:cs="Times New Roman"/>
                <w:color w:val="auto"/>
                <w:sz w:val="24"/>
                <w:szCs w:val="24"/>
                <w:highlight w:val="none"/>
                <w:lang w:val="en-US" w:eastAsia="zh-CN"/>
              </w:rPr>
              <w:t>环境影响报告表的批复》，</w:t>
            </w:r>
            <w:r>
              <w:rPr>
                <w:rFonts w:hint="eastAsia" w:ascii="Times New Roman" w:hAnsi="Times New Roman" w:eastAsia="宋体" w:cs="Times New Roman"/>
                <w:color w:val="auto"/>
                <w:sz w:val="24"/>
                <w:szCs w:val="24"/>
                <w:highlight w:val="none"/>
                <w:lang w:val="en-US" w:eastAsia="zh-CN"/>
              </w:rPr>
              <w:t>巴</w:t>
            </w:r>
            <w:r>
              <w:rPr>
                <w:rFonts w:hint="default" w:ascii="Times New Roman" w:hAnsi="Times New Roman" w:eastAsia="宋体" w:cs="Times New Roman"/>
                <w:color w:val="auto"/>
                <w:sz w:val="24"/>
                <w:szCs w:val="24"/>
                <w:highlight w:val="none"/>
                <w:lang w:val="en-US" w:eastAsia="zh-CN"/>
              </w:rPr>
              <w:t>环</w:t>
            </w:r>
            <w:r>
              <w:rPr>
                <w:rFonts w:hint="eastAsia" w:ascii="Times New Roman" w:hAnsi="Times New Roman" w:eastAsia="宋体" w:cs="Times New Roman"/>
                <w:color w:val="auto"/>
                <w:sz w:val="24"/>
                <w:szCs w:val="24"/>
                <w:highlight w:val="none"/>
                <w:lang w:val="en-US" w:eastAsia="zh-CN"/>
              </w:rPr>
              <w:t>评价函</w:t>
            </w:r>
            <w:r>
              <w:rPr>
                <w:rFonts w:hint="default" w:ascii="Times New Roman" w:hAnsi="Times New Roman" w:eastAsia="宋体" w:cs="Times New Roman"/>
                <w:color w:val="auto"/>
                <w:sz w:val="24"/>
                <w:szCs w:val="24"/>
                <w:highlight w:val="none"/>
                <w:lang w:val="en-US" w:eastAsia="zh-CN"/>
              </w:rPr>
              <w:t>〔20</w:t>
            </w:r>
            <w:r>
              <w:rPr>
                <w:rFonts w:hint="eastAsia"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78</w:t>
            </w:r>
            <w:r>
              <w:rPr>
                <w:rFonts w:hint="default" w:ascii="Times New Roman" w:hAnsi="Times New Roman" w:eastAsia="宋体" w:cs="Times New Roman"/>
                <w:color w:val="auto"/>
                <w:sz w:val="24"/>
                <w:szCs w:val="24"/>
                <w:highlight w:val="none"/>
                <w:lang w:val="en-US" w:eastAsia="zh-CN"/>
              </w:rPr>
              <w:t>号，</w:t>
            </w:r>
            <w:r>
              <w:rPr>
                <w:rFonts w:hint="eastAsia" w:ascii="Times New Roman" w:hAnsi="Times New Roman" w:eastAsia="宋体" w:cs="Times New Roman"/>
                <w:color w:val="auto"/>
                <w:sz w:val="24"/>
                <w:szCs w:val="24"/>
                <w:highlight w:val="none"/>
                <w:lang w:val="en-US" w:eastAsia="zh-CN"/>
              </w:rPr>
              <w:t>2023</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eastAsia="宋体"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lang w:val="en-US" w:eastAsia="zh-CN"/>
              </w:rPr>
              <w:t>日；</w:t>
            </w:r>
          </w:p>
          <w:p>
            <w:pPr>
              <w:keepNext w:val="0"/>
              <w:keepLines w:val="0"/>
              <w:pageBreakBefore w:val="0"/>
              <w:widowControl w:val="0"/>
              <w:tabs>
                <w:tab w:val="left" w:pos="900"/>
                <w:tab w:val="left" w:pos="1332"/>
              </w:tabs>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highlight w:val="none"/>
                <w:lang w:val="en-US" w:eastAsia="zh-CN"/>
              </w:rPr>
            </w:pPr>
            <w:r>
              <w:rPr>
                <w:rFonts w:hint="default"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4</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绿色装配式建筑产业园扩建项目</w:t>
            </w:r>
            <w:r>
              <w:rPr>
                <w:rFonts w:hint="default" w:ascii="Times New Roman" w:hAnsi="Times New Roman" w:eastAsia="宋体" w:cs="Times New Roman"/>
                <w:sz w:val="24"/>
              </w:rPr>
              <w:t>竣工环境保护验收监测委托书》</w:t>
            </w:r>
            <w:r>
              <w:rPr>
                <w:rFonts w:hint="default" w:ascii="Times New Roman" w:hAnsi="Times New Roman" w:eastAsia="宋体" w:cs="Times New Roman"/>
                <w:sz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594" w:hRule="atLeast"/>
          <w:jc w:val="center"/>
        </w:trPr>
        <w:tc>
          <w:tcPr>
            <w:tcW w:w="2223" w:type="dxa"/>
            <w:tcBorders>
              <w:tl2br w:val="nil"/>
              <w:tr2bl w:val="nil"/>
            </w:tcBorders>
            <w:vAlign w:val="center"/>
          </w:tcPr>
          <w:p>
            <w:pPr>
              <w:spacing w:after="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验收监测评价标准、标号、级别、限值</w:t>
            </w:r>
          </w:p>
        </w:tc>
        <w:tc>
          <w:tcPr>
            <w:tcW w:w="6646" w:type="dxa"/>
            <w:gridSpan w:val="5"/>
            <w:tcBorders>
              <w:tl2br w:val="nil"/>
              <w:tr2bl w:val="nil"/>
            </w:tcBorders>
            <w:vAlign w:val="center"/>
          </w:tcPr>
          <w:p>
            <w:pPr>
              <w:keepNext w:val="0"/>
              <w:keepLines w:val="0"/>
              <w:widowControl/>
              <w:suppressLineNumbers w:val="0"/>
              <w:spacing w:line="360" w:lineRule="auto"/>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根据该项目环境影响报告表、</w:t>
            </w:r>
            <w:r>
              <w:rPr>
                <w:rFonts w:hint="eastAsia" w:cs="Times New Roman"/>
                <w:sz w:val="24"/>
                <w:szCs w:val="24"/>
                <w:lang w:val="en-US" w:eastAsia="zh-CN"/>
              </w:rPr>
              <w:t>巴州生态环境局</w:t>
            </w:r>
            <w:r>
              <w:rPr>
                <w:rFonts w:hint="default" w:ascii="Times New Roman" w:hAnsi="Times New Roman" w:eastAsia="宋体" w:cs="Times New Roman"/>
                <w:sz w:val="24"/>
                <w:szCs w:val="24"/>
                <w:lang w:val="en-US" w:eastAsia="zh-CN"/>
              </w:rPr>
              <w:t>（</w:t>
            </w:r>
            <w:r>
              <w:rPr>
                <w:rFonts w:hint="eastAsia" w:ascii="宋体" w:hAnsi="宋体" w:eastAsia="宋体" w:cs="宋体"/>
                <w:color w:val="000000"/>
                <w:kern w:val="0"/>
                <w:sz w:val="24"/>
                <w:szCs w:val="24"/>
                <w:lang w:val="en-US" w:eastAsia="zh-CN" w:bidi="ar"/>
              </w:rPr>
              <w:t>巴环评价函</w:t>
            </w:r>
            <w:r>
              <w:rPr>
                <w:rFonts w:hint="eastAsia" w:ascii="宋体" w:hAnsi="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2023</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78</w:t>
            </w:r>
            <w:r>
              <w:rPr>
                <w:rFonts w:hint="eastAsia" w:ascii="宋体" w:hAnsi="宋体" w:eastAsia="宋体" w:cs="宋体"/>
                <w:color w:val="000000"/>
                <w:kern w:val="0"/>
                <w:sz w:val="24"/>
                <w:szCs w:val="24"/>
                <w:lang w:val="en-US" w:eastAsia="zh-CN" w:bidi="ar"/>
              </w:rPr>
              <w:t>号</w:t>
            </w:r>
            <w:r>
              <w:rPr>
                <w:rFonts w:hint="default" w:ascii="Times New Roman" w:hAnsi="Times New Roman" w:eastAsia="宋体" w:cs="Times New Roman"/>
                <w:sz w:val="24"/>
                <w:szCs w:val="24"/>
                <w:lang w:val="en-US" w:eastAsia="zh-CN"/>
              </w:rPr>
              <w:t>）对其批复的相应要求，该项目验收主要污染物排放执行标准如下：</w:t>
            </w:r>
          </w:p>
          <w:p>
            <w:pPr>
              <w:pStyle w:val="7"/>
              <w:keepNext w:val="0"/>
              <w:keepLines w:val="0"/>
              <w:pageBreakBefore w:val="0"/>
              <w:widowControl w:val="0"/>
              <w:kinsoku/>
              <w:wordWrap/>
              <w:overflowPunct/>
              <w:topLinePunct w:val="0"/>
              <w:autoSpaceDE/>
              <w:autoSpaceDN/>
              <w:bidi w:val="0"/>
              <w:spacing w:after="0" w:line="360" w:lineRule="auto"/>
              <w:ind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1.3废气</w:t>
            </w:r>
          </w:p>
          <w:p>
            <w:pPr>
              <w:pStyle w:val="7"/>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根据环评及批复要求，</w:t>
            </w:r>
            <w:r>
              <w:rPr>
                <w:rFonts w:hint="eastAsia" w:ascii="Times New Roman" w:hAnsi="Times New Roman" w:eastAsia="宋体" w:cs="Times New Roman"/>
                <w:sz w:val="24"/>
                <w:szCs w:val="24"/>
                <w:lang w:val="en-US" w:eastAsia="zh-CN"/>
              </w:rPr>
              <w:t>商品混凝土与复合保温免拆保温模板物料输送储存工段及搅拌工段废气通过物料储料仓顶集气罩收集后经袋式除尘器处理，颗粒物排放浓度达到《水泥工业大气污染物综合排放标准》（GB4915-2013）表2大气污染物特别排放限值后，经15m高排气筒排放；锅炉采用低氮燃烧技术，废气排放浓度达到《锅炉大气污染物排放标准》（GB13271-2014）中表3大气污染物特别排放限值，NO</w:t>
            </w:r>
            <w:r>
              <w:rPr>
                <w:rFonts w:hint="eastAsia" w:ascii="Times New Roman" w:hAnsi="Times New Roman" w:eastAsia="宋体" w:cs="Times New Roman"/>
                <w:sz w:val="24"/>
                <w:szCs w:val="24"/>
                <w:vertAlign w:val="subscript"/>
                <w:lang w:val="en-US" w:eastAsia="zh-CN"/>
              </w:rPr>
              <w:t>X</w:t>
            </w:r>
            <w:r>
              <w:rPr>
                <w:rFonts w:hint="eastAsia" w:ascii="Times New Roman" w:hAnsi="Times New Roman" w:eastAsia="宋体" w:cs="Times New Roman"/>
                <w:sz w:val="24"/>
                <w:szCs w:val="24"/>
                <w:vertAlign w:val="baseline"/>
                <w:lang w:val="en-US" w:eastAsia="zh-CN"/>
              </w:rPr>
              <w:t>排放浓度满足50mg/m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vertAlign w:val="baseline"/>
                <w:lang w:val="en-US" w:eastAsia="zh-CN"/>
              </w:rPr>
              <w:t>限值要求后，经15m排气筒排放。</w:t>
            </w:r>
            <w:r>
              <w:rPr>
                <w:rFonts w:hint="default" w:ascii="Times New Roman" w:hAnsi="Times New Roman" w:eastAsia="宋体" w:cs="Times New Roman"/>
                <w:sz w:val="24"/>
                <w:szCs w:val="24"/>
                <w:lang w:val="en-US" w:eastAsia="zh-CN"/>
              </w:rPr>
              <w:t>厂界四周颗粒物执行</w:t>
            </w:r>
            <w:r>
              <w:rPr>
                <w:rFonts w:hint="default"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水泥工业</w:t>
            </w:r>
            <w:r>
              <w:rPr>
                <w:rFonts w:hint="default" w:ascii="Times New Roman" w:hAnsi="Times New Roman" w:eastAsia="宋体" w:cs="Times New Roman"/>
                <w:sz w:val="24"/>
                <w:szCs w:val="24"/>
                <w:lang w:eastAsia="zh-CN"/>
              </w:rPr>
              <w:t>大气污染物综合排放标准》（GB</w:t>
            </w:r>
            <w:r>
              <w:rPr>
                <w:rFonts w:hint="eastAsia" w:ascii="Times New Roman" w:hAnsi="Times New Roman" w:eastAsia="宋体" w:cs="Times New Roman"/>
                <w:sz w:val="24"/>
                <w:szCs w:val="24"/>
                <w:lang w:val="en-US" w:eastAsia="zh-CN"/>
              </w:rPr>
              <w:t>4915</w:t>
            </w:r>
            <w:r>
              <w:rPr>
                <w:rFonts w:hint="default"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2013</w:t>
            </w:r>
            <w:r>
              <w:rPr>
                <w:rFonts w:hint="default" w:ascii="Times New Roman" w:hAnsi="Times New Roman" w:eastAsia="宋体" w:cs="Times New Roman"/>
                <w:sz w:val="24"/>
                <w:szCs w:val="24"/>
                <w:lang w:eastAsia="zh-CN"/>
              </w:rPr>
              <w:t>）中表</w:t>
            </w:r>
            <w:r>
              <w:rPr>
                <w:rFonts w:hint="eastAsia" w:ascii="Times New Roman" w:hAnsi="Times New Roman" w:eastAsia="宋体" w:cs="Times New Roman"/>
                <w:sz w:val="24"/>
                <w:szCs w:val="24"/>
                <w:lang w:val="en-US" w:eastAsia="zh-CN"/>
              </w:rPr>
              <w:t>3大气污染物无组织排放限值要求</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见表1.3-2。</w:t>
            </w:r>
          </w:p>
          <w:p>
            <w:pPr>
              <w:pStyle w:val="7"/>
              <w:keepNext w:val="0"/>
              <w:keepLines w:val="0"/>
              <w:pageBreakBefore w:val="0"/>
              <w:widowControl w:val="0"/>
              <w:kinsoku/>
              <w:wordWrap/>
              <w:overflowPunct/>
              <w:topLinePunct w:val="0"/>
              <w:autoSpaceDE/>
              <w:autoSpaceDN/>
              <w:bidi w:val="0"/>
              <w:spacing w:after="0" w:line="360" w:lineRule="auto"/>
              <w:ind w:firstLine="482" w:firstLineChars="200"/>
              <w:jc w:val="center"/>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表1.3-2无组织排放标准</w:t>
            </w:r>
          </w:p>
          <w:tbl>
            <w:tblPr>
              <w:tblStyle w:val="2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8"/>
              <w:gridCol w:w="2140"/>
              <w:gridCol w:w="2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vMerge w:val="restart"/>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污染物</w:t>
                  </w:r>
                </w:p>
              </w:tc>
              <w:tc>
                <w:tcPr>
                  <w:tcW w:w="3334" w:type="pct"/>
                  <w:gridSpan w:val="2"/>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无组织排放监控浓度限值（mg/m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vMerge w:val="continue"/>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lang w:val="en-US" w:eastAsia="zh-CN"/>
                    </w:rPr>
                  </w:pPr>
                </w:p>
              </w:tc>
              <w:tc>
                <w:tcPr>
                  <w:tcW w:w="1667" w:type="pct"/>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监控点</w:t>
                  </w:r>
                </w:p>
              </w:tc>
              <w:tc>
                <w:tcPr>
                  <w:tcW w:w="1666" w:type="pct"/>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color w:val="auto"/>
                      <w:sz w:val="21"/>
                      <w:szCs w:val="21"/>
                      <w:lang w:eastAsia="zh-CN"/>
                    </w:rPr>
                    <w:t>颗粒物</w:t>
                  </w:r>
                </w:p>
              </w:tc>
              <w:tc>
                <w:tcPr>
                  <w:tcW w:w="1667" w:type="pct"/>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周界外浓度最高点</w:t>
                  </w:r>
                </w:p>
              </w:tc>
              <w:tc>
                <w:tcPr>
                  <w:tcW w:w="1666" w:type="pct"/>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0.5</w:t>
                  </w:r>
                </w:p>
              </w:tc>
            </w:tr>
          </w:tbl>
          <w:p>
            <w:pPr>
              <w:pStyle w:val="7"/>
              <w:keepNext w:val="0"/>
              <w:keepLines w:val="0"/>
              <w:pageBreakBefore w:val="0"/>
              <w:widowControl w:val="0"/>
              <w:kinsoku/>
              <w:wordWrap/>
              <w:overflowPunct/>
              <w:topLinePunct w:val="0"/>
              <w:autoSpaceDE/>
              <w:autoSpaceDN/>
              <w:bidi w:val="0"/>
              <w:spacing w:after="0" w:line="360" w:lineRule="auto"/>
              <w:ind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1.4、废水</w:t>
            </w:r>
          </w:p>
          <w:p>
            <w:pPr>
              <w:pStyle w:val="7"/>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环评及批复要求，运营期搅拌机和混凝土运输车清洗废水排入防渗沉淀池沉淀后回用于搅拌砂浆用水，进入产品，不排放。餐饮废水经油水分离器处理后同生活污水排入化粪池预处理后达到《污水综合排放标准》（GB8978-1996）三级排放标准后排放至开发区下水管网，最终排入巴州洁源排水有限公司（库尔勒经济技术开发区工业废水处理回用厂）。标准值见下表：</w:t>
            </w:r>
          </w:p>
          <w:p>
            <w:pPr>
              <w:pStyle w:val="7"/>
              <w:keepNext w:val="0"/>
              <w:keepLines w:val="0"/>
              <w:pageBreakBefore w:val="0"/>
              <w:widowControl w:val="0"/>
              <w:kinsoku/>
              <w:wordWrap/>
              <w:overflowPunct/>
              <w:topLinePunct w:val="0"/>
              <w:autoSpaceDE/>
              <w:autoSpaceDN/>
              <w:bidi w:val="0"/>
              <w:spacing w:after="0" w:line="360" w:lineRule="auto"/>
              <w:ind w:firstLine="482" w:firstLineChars="200"/>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表1.4-1  废水排放标准</w:t>
            </w:r>
          </w:p>
          <w:tbl>
            <w:tblPr>
              <w:tblStyle w:val="23"/>
              <w:tblW w:w="4999"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58"/>
              <w:gridCol w:w="4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9" w:hRule="atLeast"/>
              </w:trPr>
              <w:tc>
                <w:tcPr>
                  <w:tcW w:w="1291" w:type="pct"/>
                  <w:vAlign w:val="center"/>
                </w:tcPr>
                <w:p>
                  <w:pPr>
                    <w:bidi w:val="0"/>
                    <w:jc w:val="center"/>
                    <w:rPr>
                      <w:rFonts w:hint="default" w:ascii="Times New Roman" w:hAnsi="Times New Roman" w:eastAsia="宋体" w:cs="Times New Roman"/>
                    </w:rPr>
                  </w:pPr>
                  <w:r>
                    <w:rPr>
                      <w:rFonts w:hint="default" w:ascii="Times New Roman" w:hAnsi="Times New Roman" w:eastAsia="宋体" w:cs="Times New Roman"/>
                    </w:rPr>
                    <w:t>污染因子</w:t>
                  </w:r>
                </w:p>
              </w:tc>
              <w:tc>
                <w:tcPr>
                  <w:tcW w:w="3708" w:type="pct"/>
                  <w:vAlign w:val="center"/>
                </w:tcPr>
                <w:p>
                  <w:pPr>
                    <w:bidi w:val="0"/>
                    <w:jc w:val="center"/>
                    <w:rPr>
                      <w:rFonts w:hint="default" w:ascii="Times New Roman" w:hAnsi="Times New Roman" w:eastAsia="宋体" w:cs="Times New Roman"/>
                    </w:rPr>
                  </w:pPr>
                  <w:r>
                    <w:rPr>
                      <w:rFonts w:hint="default" w:ascii="Times New Roman" w:hAnsi="Times New Roman" w:eastAsia="宋体" w:cs="Times New Roman"/>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91" w:type="pct"/>
                  <w:vAlign w:val="center"/>
                </w:tcPr>
                <w:p>
                  <w:pPr>
                    <w:bidi w:val="0"/>
                    <w:jc w:val="center"/>
                    <w:rPr>
                      <w:rFonts w:hint="default" w:ascii="Times New Roman" w:hAnsi="Times New Roman" w:eastAsia="宋体" w:cs="Times New Roman"/>
                    </w:rPr>
                  </w:pPr>
                  <w:r>
                    <w:rPr>
                      <w:rFonts w:hint="default" w:ascii="Times New Roman" w:hAnsi="Times New Roman" w:eastAsia="宋体" w:cs="Times New Roman"/>
                    </w:rPr>
                    <w:t>pH</w:t>
                  </w:r>
                </w:p>
              </w:tc>
              <w:tc>
                <w:tcPr>
                  <w:tcW w:w="3708" w:type="pct"/>
                  <w:vAlign w:val="center"/>
                </w:tcPr>
                <w:p>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91" w:type="pct"/>
                  <w:vAlign w:val="center"/>
                </w:tcPr>
                <w:p>
                  <w:pPr>
                    <w:bidi w:val="0"/>
                    <w:jc w:val="center"/>
                    <w:rPr>
                      <w:rFonts w:hint="default" w:ascii="Times New Roman" w:hAnsi="Times New Roman" w:eastAsia="宋体" w:cs="Times New Roman"/>
                    </w:rPr>
                  </w:pPr>
                  <w:r>
                    <w:rPr>
                      <w:rFonts w:hint="default" w:ascii="Times New Roman" w:hAnsi="Times New Roman" w:eastAsia="宋体" w:cs="Times New Roman"/>
                    </w:rPr>
                    <w:t>COD</w:t>
                  </w:r>
                  <w:r>
                    <w:rPr>
                      <w:rFonts w:hint="default" w:ascii="Times New Roman" w:hAnsi="Times New Roman" w:eastAsia="宋体" w:cs="Times New Roman"/>
                      <w:vertAlign w:val="subscript"/>
                    </w:rPr>
                    <w:t>Cr</w:t>
                  </w:r>
                </w:p>
              </w:tc>
              <w:tc>
                <w:tcPr>
                  <w:tcW w:w="3708" w:type="pct"/>
                  <w:vAlign w:val="center"/>
                </w:tcPr>
                <w:p>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500</w:t>
                  </w:r>
                  <w:r>
                    <w:rPr>
                      <w:rFonts w:hint="default" w:ascii="Times New Roman" w:hAnsi="Times New Roman" w:eastAsia="宋体" w:cs="Times New Roma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9" w:hRule="atLeast"/>
              </w:trPr>
              <w:tc>
                <w:tcPr>
                  <w:tcW w:w="1291" w:type="pct"/>
                  <w:vAlign w:val="center"/>
                </w:tcPr>
                <w:p>
                  <w:pPr>
                    <w:bidi w:val="0"/>
                    <w:jc w:val="center"/>
                    <w:rPr>
                      <w:rFonts w:hint="default" w:ascii="Times New Roman" w:hAnsi="Times New Roman" w:eastAsia="宋体" w:cs="Times New Roman"/>
                    </w:rPr>
                  </w:pPr>
                  <w:r>
                    <w:rPr>
                      <w:rFonts w:hint="default" w:ascii="Times New Roman" w:hAnsi="Times New Roman" w:eastAsia="宋体" w:cs="Times New Roman"/>
                    </w:rPr>
                    <w:t>BOD</w:t>
                  </w:r>
                  <w:r>
                    <w:rPr>
                      <w:rFonts w:hint="default" w:ascii="Times New Roman" w:hAnsi="Times New Roman" w:eastAsia="宋体" w:cs="Times New Roman"/>
                      <w:vertAlign w:val="subscript"/>
                    </w:rPr>
                    <w:t>5</w:t>
                  </w:r>
                </w:p>
              </w:tc>
              <w:tc>
                <w:tcPr>
                  <w:tcW w:w="3708" w:type="pct"/>
                  <w:vAlign w:val="center"/>
                </w:tcPr>
                <w:p>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300</w:t>
                  </w:r>
                  <w:r>
                    <w:rPr>
                      <w:rFonts w:hint="default" w:ascii="Times New Roman" w:hAnsi="Times New Roman" w:eastAsia="宋体" w:cs="Times New Roma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91" w:type="pct"/>
                  <w:vAlign w:val="center"/>
                </w:tcPr>
                <w:p>
                  <w:pPr>
                    <w:bidi w:val="0"/>
                    <w:jc w:val="center"/>
                    <w:rPr>
                      <w:rFonts w:hint="default" w:ascii="Times New Roman" w:hAnsi="Times New Roman" w:eastAsia="宋体" w:cs="Times New Roman"/>
                    </w:rPr>
                  </w:pPr>
                  <w:r>
                    <w:rPr>
                      <w:rFonts w:hint="default" w:ascii="Times New Roman" w:hAnsi="Times New Roman" w:eastAsia="宋体" w:cs="Times New Roman"/>
                    </w:rPr>
                    <w:t>SS</w:t>
                  </w:r>
                </w:p>
              </w:tc>
              <w:tc>
                <w:tcPr>
                  <w:tcW w:w="3708" w:type="pct"/>
                  <w:vAlign w:val="center"/>
                </w:tcPr>
                <w:p>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400</w:t>
                  </w:r>
                  <w:r>
                    <w:rPr>
                      <w:rFonts w:hint="default" w:ascii="Times New Roman" w:hAnsi="Times New Roman" w:eastAsia="宋体" w:cs="Times New Roma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91" w:type="pct"/>
                  <w:vAlign w:val="center"/>
                </w:tcPr>
                <w:p>
                  <w:pPr>
                    <w:bidi w:val="0"/>
                    <w:jc w:val="center"/>
                    <w:rPr>
                      <w:rFonts w:hint="default" w:ascii="Times New Roman" w:hAnsi="Times New Roman" w:eastAsia="宋体" w:cs="Times New Roman"/>
                    </w:rPr>
                  </w:pPr>
                  <w:r>
                    <w:rPr>
                      <w:rFonts w:hint="default" w:ascii="Times New Roman" w:hAnsi="Times New Roman" w:eastAsia="宋体" w:cs="Times New Roman"/>
                    </w:rPr>
                    <w:t>NH</w:t>
                  </w:r>
                  <w:r>
                    <w:rPr>
                      <w:rFonts w:hint="default" w:ascii="Times New Roman" w:hAnsi="Times New Roman" w:eastAsia="宋体" w:cs="Times New Roman"/>
                      <w:vertAlign w:val="subscript"/>
                    </w:rPr>
                    <w:t>3</w:t>
                  </w:r>
                  <w:r>
                    <w:rPr>
                      <w:rFonts w:hint="default" w:ascii="Times New Roman" w:hAnsi="Times New Roman" w:eastAsia="宋体" w:cs="Times New Roman"/>
                    </w:rPr>
                    <w:t>-N</w:t>
                  </w:r>
                </w:p>
              </w:tc>
              <w:tc>
                <w:tcPr>
                  <w:tcW w:w="3708" w:type="pct"/>
                  <w:vAlign w:val="center"/>
                </w:tcPr>
                <w:p>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9" w:hRule="atLeast"/>
              </w:trPr>
              <w:tc>
                <w:tcPr>
                  <w:tcW w:w="1291" w:type="pct"/>
                  <w:vAlign w:val="center"/>
                </w:tcPr>
                <w:p>
                  <w:pPr>
                    <w:bidi w:val="0"/>
                    <w:jc w:val="center"/>
                    <w:rPr>
                      <w:rFonts w:hint="default" w:ascii="Times New Roman" w:hAnsi="Times New Roman" w:eastAsia="宋体" w:cs="Times New Roman"/>
                    </w:rPr>
                  </w:pPr>
                  <w:r>
                    <w:rPr>
                      <w:rFonts w:hint="default" w:ascii="Times New Roman" w:hAnsi="Times New Roman" w:eastAsia="宋体" w:cs="Times New Roman"/>
                    </w:rPr>
                    <w:t>LAS</w:t>
                  </w:r>
                </w:p>
              </w:tc>
              <w:tc>
                <w:tcPr>
                  <w:tcW w:w="3708" w:type="pct"/>
                  <w:vAlign w:val="center"/>
                </w:tcPr>
                <w:p>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w:t>
                  </w:r>
                  <w:r>
                    <w:rPr>
                      <w:rFonts w:hint="default" w:ascii="Times New Roman" w:hAnsi="Times New Roman" w:eastAsia="宋体" w:cs="Times New Roma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91" w:type="pct"/>
                  <w:vAlign w:val="center"/>
                </w:tcPr>
                <w:p>
                  <w:pPr>
                    <w:bidi w:val="0"/>
                    <w:jc w:val="center"/>
                    <w:rPr>
                      <w:rFonts w:hint="default" w:ascii="Times New Roman" w:hAnsi="Times New Roman" w:eastAsia="宋体" w:cs="Times New Roman"/>
                    </w:rPr>
                  </w:pPr>
                  <w:r>
                    <w:rPr>
                      <w:rFonts w:hint="default" w:ascii="Times New Roman" w:hAnsi="Times New Roman" w:eastAsia="宋体" w:cs="Times New Roman"/>
                    </w:rPr>
                    <w:t>动植物油</w:t>
                  </w:r>
                </w:p>
              </w:tc>
              <w:tc>
                <w:tcPr>
                  <w:tcW w:w="3708" w:type="pct"/>
                  <w:vAlign w:val="center"/>
                </w:tcPr>
                <w:p>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100</w:t>
                  </w:r>
                  <w:r>
                    <w:rPr>
                      <w:rFonts w:hint="default" w:ascii="Times New Roman" w:hAnsi="Times New Roman" w:eastAsia="宋体" w:cs="Times New Roma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91" w:type="pct"/>
                  <w:vAlign w:val="center"/>
                </w:tcPr>
                <w:p>
                  <w:pPr>
                    <w:bidi w:val="0"/>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石油类</w:t>
                  </w:r>
                </w:p>
              </w:tc>
              <w:tc>
                <w:tcPr>
                  <w:tcW w:w="3708" w:type="pct"/>
                  <w:vAlign w:val="center"/>
                </w:tcPr>
                <w:p>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30</w:t>
                  </w:r>
                  <w:r>
                    <w:rPr>
                      <w:rFonts w:hint="default" w:ascii="Times New Roman" w:hAnsi="Times New Roman" w:eastAsia="宋体" w:cs="Times New Roma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1291" w:type="pct"/>
                  <w:vAlign w:val="center"/>
                </w:tcPr>
                <w:p>
                  <w:pPr>
                    <w:bidi w:val="0"/>
                    <w:jc w:val="center"/>
                    <w:rPr>
                      <w:rFonts w:hint="default" w:ascii="Times New Roman" w:hAnsi="Times New Roman" w:eastAsia="宋体" w:cs="Times New Roman"/>
                    </w:rPr>
                  </w:pPr>
                  <w:r>
                    <w:rPr>
                      <w:rFonts w:hint="default" w:ascii="Times New Roman" w:hAnsi="Times New Roman" w:eastAsia="宋体" w:cs="Times New Roman"/>
                    </w:rPr>
                    <w:t>标准来源</w:t>
                  </w:r>
                </w:p>
              </w:tc>
              <w:tc>
                <w:tcPr>
                  <w:tcW w:w="3708" w:type="pct"/>
                  <w:vAlign w:val="center"/>
                </w:tcPr>
                <w:p>
                  <w:pPr>
                    <w:bidi w:val="0"/>
                    <w:jc w:val="center"/>
                    <w:rPr>
                      <w:rFonts w:hint="default" w:ascii="Times New Roman" w:hAnsi="Times New Roman" w:eastAsia="宋体" w:cs="Times New Roman"/>
                    </w:rPr>
                  </w:pPr>
                  <w:r>
                    <w:rPr>
                      <w:rFonts w:hint="default" w:ascii="Times New Roman" w:hAnsi="Times New Roman" w:eastAsia="宋体" w:cs="Times New Roman"/>
                    </w:rPr>
                    <w:t>《污水综合排放标准》</w:t>
                  </w:r>
                  <w:r>
                    <w:rPr>
                      <w:rFonts w:hint="default" w:ascii="Times New Roman" w:hAnsi="Times New Roman" w:eastAsia="宋体" w:cs="Times New Roman"/>
                      <w:lang w:eastAsia="zh-CN"/>
                    </w:rPr>
                    <w:t>（</w:t>
                  </w:r>
                  <w:r>
                    <w:rPr>
                      <w:rFonts w:hint="default" w:ascii="Times New Roman" w:hAnsi="Times New Roman" w:eastAsia="宋体" w:cs="Times New Roman"/>
                    </w:rPr>
                    <w:t>GB8978-1996）三级标准</w:t>
                  </w:r>
                </w:p>
              </w:tc>
            </w:tr>
          </w:tbl>
          <w:p>
            <w:pPr>
              <w:pStyle w:val="7"/>
              <w:keepNext w:val="0"/>
              <w:keepLines w:val="0"/>
              <w:pageBreakBefore w:val="0"/>
              <w:widowControl w:val="0"/>
              <w:kinsoku/>
              <w:wordWrap/>
              <w:overflowPunct/>
              <w:topLinePunct w:val="0"/>
              <w:autoSpaceDE/>
              <w:autoSpaceDN/>
              <w:bidi w:val="0"/>
              <w:spacing w:after="0" w:line="360" w:lineRule="auto"/>
              <w:ind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1.5、噪声</w:t>
            </w:r>
          </w:p>
          <w:p>
            <w:pPr>
              <w:pStyle w:val="7"/>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根据环评及批复要求，项目厂界噪声执行《工业企业厂界环境噪声排放标准》（GB12348-2008）3类标准，标准值见下表：</w:t>
            </w:r>
          </w:p>
          <w:p>
            <w:pPr>
              <w:pStyle w:val="7"/>
              <w:keepNext w:val="0"/>
              <w:keepLines w:val="0"/>
              <w:pageBreakBefore w:val="0"/>
              <w:widowControl w:val="0"/>
              <w:kinsoku/>
              <w:wordWrap/>
              <w:overflowPunct/>
              <w:topLinePunct w:val="0"/>
              <w:autoSpaceDE/>
              <w:autoSpaceDN/>
              <w:bidi w:val="0"/>
              <w:spacing w:after="0" w:line="360" w:lineRule="auto"/>
              <w:ind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表1.5-1工业企业厂界环境噪声排放标准</w:t>
            </w:r>
          </w:p>
          <w:tbl>
            <w:tblPr>
              <w:tblStyle w:val="2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8"/>
              <w:gridCol w:w="2140"/>
              <w:gridCol w:w="2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vMerge w:val="restart"/>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类别</w:t>
                  </w:r>
                </w:p>
              </w:tc>
              <w:tc>
                <w:tcPr>
                  <w:tcW w:w="3334" w:type="pct"/>
                  <w:gridSpan w:val="2"/>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环境噪声标准值dB（A）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vMerge w:val="continue"/>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lang w:val="en-US" w:eastAsia="zh-CN"/>
                    </w:rPr>
                  </w:pPr>
                </w:p>
              </w:tc>
              <w:tc>
                <w:tcPr>
                  <w:tcW w:w="1667" w:type="pct"/>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昼间</w:t>
                  </w:r>
                </w:p>
              </w:tc>
              <w:tc>
                <w:tcPr>
                  <w:tcW w:w="1666" w:type="pct"/>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3类</w:t>
                  </w:r>
                </w:p>
              </w:tc>
              <w:tc>
                <w:tcPr>
                  <w:tcW w:w="1667" w:type="pct"/>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65</w:t>
                  </w:r>
                </w:p>
              </w:tc>
              <w:tc>
                <w:tcPr>
                  <w:tcW w:w="1666" w:type="pct"/>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55</w:t>
                  </w:r>
                </w:p>
              </w:tc>
            </w:tr>
          </w:tbl>
          <w:p>
            <w:pPr>
              <w:keepNext w:val="0"/>
              <w:keepLines w:val="0"/>
              <w:pageBreakBefore w:val="0"/>
              <w:widowControl w:val="0"/>
              <w:tabs>
                <w:tab w:val="left" w:pos="900"/>
                <w:tab w:val="left" w:pos="1332"/>
              </w:tabs>
              <w:kinsoku/>
              <w:wordWrap/>
              <w:overflowPunct/>
              <w:topLinePunct w:val="0"/>
              <w:autoSpaceDE/>
              <w:autoSpaceDN/>
              <w:bidi w:val="0"/>
              <w:adjustRightInd w:val="0"/>
              <w:snapToGrid w:val="0"/>
              <w:spacing w:line="460" w:lineRule="exact"/>
              <w:ind w:firstLine="482" w:firstLineChars="200"/>
              <w:jc w:val="left"/>
              <w:textAlignment w:val="auto"/>
              <w:outlineLvl w:val="9"/>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1.6、固体废物验收标准</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固体废物属性判定依据参照《一般工业固体废物贮存和填埋污染控制标准》（GB18599-2020）相关规范执行。</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sz w:val="24"/>
                <w:szCs w:val="24"/>
                <w:lang w:val="en-US" w:eastAsia="zh-CN"/>
              </w:rPr>
              <w:t>危险废物储存执行《危险废物贮存污染控制标准》（GB18597-20</w:t>
            </w:r>
            <w:r>
              <w:rPr>
                <w:rFonts w:hint="eastAsia" w:ascii="Times New Roman" w:hAnsi="Times New Roman" w:eastAsia="宋体" w:cs="Times New Roman"/>
                <w:sz w:val="24"/>
                <w:szCs w:val="24"/>
                <w:lang w:val="en-US" w:eastAsia="zh-CN"/>
              </w:rPr>
              <w:t>23</w:t>
            </w:r>
            <w:r>
              <w:rPr>
                <w:rFonts w:hint="default" w:ascii="Times New Roman" w:hAnsi="Times New Roman" w:eastAsia="宋体" w:cs="Times New Roman"/>
                <w:sz w:val="24"/>
                <w:szCs w:val="24"/>
                <w:lang w:val="en-US" w:eastAsia="zh-CN"/>
              </w:rPr>
              <w:t>）中相关规定。</w:t>
            </w:r>
          </w:p>
        </w:tc>
      </w:tr>
    </w:tbl>
    <w:p>
      <w:pPr>
        <w:pStyle w:val="3"/>
        <w:spacing w:before="0" w:after="0" w:line="240" w:lineRule="auto"/>
        <w:jc w:val="center"/>
        <w:rPr>
          <w:rFonts w:hint="default" w:ascii="Times New Roman" w:hAnsi="Times New Roman" w:eastAsia="宋体" w:cs="Times New Roman"/>
          <w:sz w:val="24"/>
          <w:highlight w:val="none"/>
        </w:rPr>
      </w:pPr>
      <w:bookmarkStart w:id="0" w:name="_Toc10601"/>
      <w:r>
        <w:rPr>
          <w:rFonts w:hint="default" w:ascii="Times New Roman" w:hAnsi="Times New Roman" w:eastAsia="宋体" w:cs="Times New Roman"/>
          <w:sz w:val="24"/>
          <w:highlight w:val="none"/>
        </w:rPr>
        <w:t>续表一工程概况</w:t>
      </w:r>
      <w:bookmarkEnd w:id="0"/>
    </w:p>
    <w:tbl>
      <w:tblPr>
        <w:tblStyle w:val="23"/>
        <w:tblW w:w="9163"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163"/>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3221" w:hRule="atLeast"/>
          <w:jc w:val="center"/>
        </w:trPr>
        <w:tc>
          <w:tcPr>
            <w:tcW w:w="9163" w:type="dxa"/>
            <w:vAlign w:val="top"/>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200" w:right="0" w:rightChars="0"/>
              <w:jc w:val="left"/>
              <w:textAlignment w:val="auto"/>
              <w:outlineLvl w:val="9"/>
              <w:rPr>
                <w:rFonts w:hint="default" w:ascii="Times New Roman" w:hAnsi="Times New Roman" w:eastAsia="宋体" w:cs="Times New Roman"/>
                <w:b/>
                <w:bCs w:val="0"/>
                <w:color w:val="000000"/>
                <w:sz w:val="24"/>
                <w:szCs w:val="24"/>
                <w:highlight w:val="none"/>
                <w:lang w:val="en-US" w:eastAsia="zh-CN"/>
              </w:rPr>
            </w:pPr>
            <w:r>
              <w:rPr>
                <w:rFonts w:hint="default" w:ascii="Times New Roman" w:hAnsi="Times New Roman" w:eastAsia="宋体" w:cs="Times New Roman"/>
                <w:b/>
                <w:bCs w:val="0"/>
                <w:color w:val="000000"/>
                <w:sz w:val="24"/>
                <w:szCs w:val="24"/>
                <w:highlight w:val="none"/>
                <w:lang w:val="en-US" w:eastAsia="zh-CN"/>
              </w:rPr>
              <w:t>1、项目概况及验收任务由来</w:t>
            </w:r>
          </w:p>
          <w:p>
            <w:pPr>
              <w:spacing w:line="360" w:lineRule="auto"/>
              <w:ind w:firstLine="480" w:firstLineChars="200"/>
              <w:contextualSpacing/>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w:t>
            </w:r>
            <w:r>
              <w:rPr>
                <w:rFonts w:hint="eastAsia"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月，委托</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新疆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中测环保科技有限公司</w:t>
            </w:r>
            <w:r>
              <w:rPr>
                <w:rFonts w:hint="default" w:ascii="Times New Roman" w:hAnsi="Times New Roman" w:eastAsia="宋体" w:cs="Times New Roman"/>
                <w:color w:val="auto"/>
                <w:sz w:val="24"/>
                <w:szCs w:val="24"/>
                <w:highlight w:val="none"/>
                <w:lang w:val="en-US" w:eastAsia="zh-CN"/>
              </w:rPr>
              <w:t>编制完成了《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绿色装配式建筑产业园建设项目（一期）</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环境影响报告表</w:t>
            </w:r>
            <w:r>
              <w:rPr>
                <w:rFonts w:hint="default" w:ascii="Times New Roman" w:hAnsi="Times New Roman" w:eastAsia="宋体" w:cs="Times New Roman"/>
                <w:color w:val="auto"/>
                <w:sz w:val="24"/>
                <w:szCs w:val="24"/>
                <w:highlight w:val="none"/>
                <w:lang w:val="en-US" w:eastAsia="zh-CN"/>
              </w:rPr>
              <w:t>》；</w:t>
            </w:r>
          </w:p>
          <w:p>
            <w:pPr>
              <w:spacing w:line="360" w:lineRule="auto"/>
              <w:ind w:firstLine="480" w:firstLineChars="200"/>
              <w:contextualSpacing/>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本项目于20</w:t>
            </w:r>
            <w:r>
              <w:rPr>
                <w:rFonts w:hint="eastAsia"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eastAsia="宋体"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lang w:val="en-US" w:eastAsia="zh-CN"/>
              </w:rPr>
              <w:t>日取得《关于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绿色装配式建筑产业园建设项目（一期）</w:t>
            </w:r>
            <w:r>
              <w:rPr>
                <w:rFonts w:hint="default" w:ascii="Times New Roman" w:hAnsi="Times New Roman" w:eastAsia="宋体" w:cs="Times New Roman"/>
                <w:color w:val="auto"/>
                <w:sz w:val="24"/>
                <w:szCs w:val="24"/>
                <w:highlight w:val="none"/>
                <w:lang w:val="en-US" w:eastAsia="zh-CN"/>
              </w:rPr>
              <w:t>环境影响报告表的批复》（</w:t>
            </w:r>
            <w:r>
              <w:rPr>
                <w:rFonts w:hint="eastAsia" w:ascii="Times New Roman" w:hAnsi="Times New Roman" w:eastAsia="宋体" w:cs="Times New Roman"/>
                <w:color w:val="auto"/>
                <w:sz w:val="24"/>
                <w:szCs w:val="24"/>
                <w:highlight w:val="none"/>
                <w:lang w:val="en-US" w:eastAsia="zh-CN"/>
              </w:rPr>
              <w:t>库尔勒经济技术开发区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环境保护局，</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库开环评价函</w:t>
            </w:r>
            <w:r>
              <w:rPr>
                <w:rFonts w:hint="default" w:ascii="Times New Roman" w:hAnsi="Times New Roman" w:eastAsia="宋体" w:cs="Times New Roman"/>
                <w:sz w:val="24"/>
                <w:szCs w:val="24"/>
                <w:lang w:val="en-US" w:eastAsia="zh-CN"/>
              </w:rPr>
              <w:t>〔20</w:t>
            </w:r>
            <w:r>
              <w:rPr>
                <w:rFonts w:hint="eastAsia" w:ascii="Times New Roman" w:hAnsi="Times New Roman" w:eastAsia="宋体" w:cs="Times New Roman"/>
                <w:sz w:val="24"/>
                <w:szCs w:val="24"/>
                <w:lang w:val="en-US" w:eastAsia="zh-CN"/>
              </w:rPr>
              <w:t>21</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lang w:val="en-US" w:eastAsia="zh-CN"/>
              </w:rPr>
              <w:t>号</w:t>
            </w:r>
            <w:r>
              <w:rPr>
                <w:rFonts w:hint="default" w:ascii="Times New Roman" w:hAnsi="Times New Roman" w:eastAsia="宋体" w:cs="Times New Roman"/>
                <w:color w:val="auto"/>
                <w:sz w:val="24"/>
                <w:szCs w:val="24"/>
                <w:highlight w:val="none"/>
                <w:lang w:val="en-US" w:eastAsia="zh-CN"/>
              </w:rPr>
              <w:t>）；</w:t>
            </w:r>
          </w:p>
          <w:p>
            <w:pPr>
              <w:spacing w:line="360" w:lineRule="auto"/>
              <w:ind w:firstLine="480" w:firstLineChars="200"/>
              <w:contextualSpacing/>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2016年</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月开工建设，2021年11月建设完成，2022年1月项目调试进行试运行。</w:t>
            </w:r>
          </w:p>
          <w:p>
            <w:pPr>
              <w:spacing w:line="360" w:lineRule="auto"/>
              <w:ind w:firstLine="480" w:firstLineChars="200"/>
              <w:contextualSpacing/>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auto"/>
                <w:sz w:val="24"/>
                <w:szCs w:val="24"/>
                <w:highlight w:val="none"/>
                <w:lang w:val="en-US" w:eastAsia="zh-CN"/>
              </w:rPr>
              <w:t>2022年</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eastAsia="宋体" w:cs="Times New Roman"/>
                <w:color w:val="auto"/>
                <w:sz w:val="24"/>
                <w:szCs w:val="24"/>
                <w:highlight w:val="none"/>
                <w:lang w:val="en-US" w:eastAsia="zh-CN"/>
              </w:rPr>
              <w:t>建设单位组织对</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绿色装配式建筑产业园建设项目（一期）项目进行自主验收，其中搅拌楼在验收期间的设备与环评及批复中设备型号一致，但实际生产能力超过批复所批生产能力，涉嫌存在“未批先建”的违法行为。现为了满足市场需求，投资10000万元建设“绿色装配式建筑产业园扩建项目”。</w:t>
            </w:r>
          </w:p>
          <w:p>
            <w:pPr>
              <w:pStyle w:val="22"/>
              <w:rPr>
                <w:rFonts w:hint="default"/>
                <w:lang w:val="en-US" w:eastAsia="zh-CN"/>
              </w:rPr>
            </w:pPr>
            <w:r>
              <w:rPr>
                <w:rFonts w:hint="eastAsia" w:cs="Times New Roman"/>
                <w:color w:val="000000" w:themeColor="text1"/>
                <w:sz w:val="24"/>
                <w:szCs w:val="24"/>
                <w:highlight w:val="none"/>
                <w:lang w:val="en-US" w:eastAsia="zh-CN"/>
                <w14:textFill>
                  <w14:solidFill>
                    <w14:schemeClr w14:val="tx1"/>
                  </w14:solidFill>
                </w14:textFill>
              </w:rPr>
              <w:t>2023年3月委托新疆中测环保科技有限公司编制完成了</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绿色装配式建筑产业园</w:t>
            </w:r>
            <w:r>
              <w:rPr>
                <w:rFonts w:hint="eastAsia" w:cs="Times New Roman"/>
                <w:color w:val="000000" w:themeColor="text1"/>
                <w:sz w:val="24"/>
                <w:szCs w:val="24"/>
                <w:highlight w:val="none"/>
                <w:lang w:val="en-US" w:eastAsia="zh-CN"/>
                <w14:textFill>
                  <w14:solidFill>
                    <w14:schemeClr w14:val="tx1"/>
                  </w14:solidFill>
                </w14:textFill>
              </w:rPr>
              <w:t>扩建项目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环境影响报告表</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，2023年3月30日</w:t>
            </w:r>
            <w:r>
              <w:rPr>
                <w:rFonts w:hint="default" w:ascii="Times New Roman" w:hAnsi="Times New Roman" w:eastAsia="宋体" w:cs="Times New Roman"/>
                <w:color w:val="auto"/>
                <w:sz w:val="24"/>
                <w:szCs w:val="24"/>
                <w:highlight w:val="none"/>
                <w:lang w:val="en-US" w:eastAsia="zh-CN"/>
              </w:rPr>
              <w:t>取得《关于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绿色装配式建筑产业园</w:t>
            </w:r>
            <w:r>
              <w:rPr>
                <w:rFonts w:hint="eastAsia" w:cs="Times New Roman"/>
                <w:color w:val="000000" w:themeColor="text1"/>
                <w:sz w:val="24"/>
                <w:szCs w:val="24"/>
                <w:highlight w:val="none"/>
                <w:lang w:val="en-US" w:eastAsia="zh-CN"/>
                <w14:textFill>
                  <w14:solidFill>
                    <w14:schemeClr w14:val="tx1"/>
                  </w14:solidFill>
                </w14:textFill>
              </w:rPr>
              <w:t>扩建项目</w:t>
            </w:r>
            <w:r>
              <w:rPr>
                <w:rFonts w:hint="default" w:ascii="Times New Roman" w:hAnsi="Times New Roman" w:eastAsia="宋体" w:cs="Times New Roman"/>
                <w:color w:val="auto"/>
                <w:sz w:val="24"/>
                <w:szCs w:val="24"/>
                <w:highlight w:val="none"/>
                <w:lang w:val="en-US" w:eastAsia="zh-CN"/>
              </w:rPr>
              <w:t>环境影响报告表的批复》（</w:t>
            </w:r>
            <w:r>
              <w:rPr>
                <w:rFonts w:hint="eastAsia" w:cs="Times New Roman"/>
                <w:color w:val="auto"/>
                <w:sz w:val="24"/>
                <w:szCs w:val="24"/>
                <w:highlight w:val="none"/>
                <w:lang w:val="en-US" w:eastAsia="zh-CN"/>
              </w:rPr>
              <w:t>巴州生态环境局</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巴环</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评价函</w:t>
            </w:r>
            <w:r>
              <w:rPr>
                <w:rFonts w:hint="default" w:ascii="Times New Roman" w:hAnsi="Times New Roman" w:eastAsia="宋体" w:cs="Times New Roman"/>
                <w:sz w:val="24"/>
                <w:szCs w:val="24"/>
                <w:lang w:val="en-US" w:eastAsia="zh-CN"/>
              </w:rPr>
              <w:t>〔20</w:t>
            </w:r>
            <w:r>
              <w:rPr>
                <w:rFonts w:hint="eastAsia" w:ascii="Times New Roman" w:hAnsi="Times New Roman" w:eastAsia="宋体" w:cs="Times New Roman"/>
                <w:sz w:val="24"/>
                <w:szCs w:val="24"/>
                <w:lang w:val="en-US" w:eastAsia="zh-CN"/>
              </w:rPr>
              <w:t>2</w:t>
            </w:r>
            <w:r>
              <w:rPr>
                <w:rFonts w:hint="eastAsia" w:cs="Times New Roman"/>
                <w:sz w:val="24"/>
                <w:szCs w:val="24"/>
                <w:lang w:val="en-US" w:eastAsia="zh-CN"/>
              </w:rPr>
              <w:t>3</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7</w:t>
            </w:r>
            <w:r>
              <w:rPr>
                <w:rFonts w:hint="eastAsia" w:cs="Times New Roman"/>
                <w:sz w:val="24"/>
                <w:szCs w:val="24"/>
                <w:lang w:val="en-US" w:eastAsia="zh-CN"/>
              </w:rPr>
              <w:t>8</w:t>
            </w:r>
            <w:r>
              <w:rPr>
                <w:rFonts w:hint="default" w:ascii="Times New Roman" w:hAnsi="Times New Roman" w:eastAsia="宋体" w:cs="Times New Roman"/>
                <w:sz w:val="24"/>
                <w:szCs w:val="24"/>
                <w:lang w:val="en-US" w:eastAsia="zh-CN"/>
              </w:rPr>
              <w:t>号</w:t>
            </w:r>
            <w:r>
              <w:rPr>
                <w:rFonts w:hint="default" w:ascii="Times New Roman" w:hAnsi="Times New Roman" w:eastAsia="宋体" w:cs="Times New Roman"/>
                <w:color w:val="auto"/>
                <w:sz w:val="24"/>
                <w:szCs w:val="24"/>
                <w:highlight w:val="none"/>
                <w:lang w:val="en-US" w:eastAsia="zh-CN"/>
              </w:rPr>
              <w:t>）</w:t>
            </w:r>
          </w:p>
          <w:p>
            <w:pPr>
              <w:spacing w:line="360" w:lineRule="auto"/>
              <w:ind w:firstLine="480" w:firstLineChars="200"/>
              <w:contextualSpacing/>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2023年7月，新疆中测环保科技有限公司</w:t>
            </w:r>
            <w:r>
              <w:rPr>
                <w:rFonts w:hint="default" w:ascii="Times New Roman" w:hAnsi="Times New Roman" w:eastAsia="宋体" w:cs="Times New Roman"/>
                <w:color w:val="auto"/>
                <w:sz w:val="24"/>
                <w:szCs w:val="24"/>
                <w:highlight w:val="none"/>
                <w:lang w:val="en-US" w:eastAsia="zh-CN"/>
              </w:rPr>
              <w:t>对该项目现场进行了核查，根据建设项目竣工环境保护验收指南、规范等相关规定，制定了项目竣工验收监测方案，依据监</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测方案202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月，</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新疆中测测试有限责任公司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对该项目进</w:t>
            </w:r>
            <w:r>
              <w:rPr>
                <w:rFonts w:hint="default" w:ascii="Times New Roman" w:hAnsi="Times New Roman" w:eastAsia="宋体" w:cs="Times New Roman"/>
                <w:color w:val="auto"/>
                <w:sz w:val="24"/>
                <w:szCs w:val="24"/>
                <w:highlight w:val="none"/>
                <w:lang w:val="en-US" w:eastAsia="zh-CN"/>
              </w:rPr>
              <w:t>行了现场验收监测，在此基础上编制完成了</w:t>
            </w:r>
            <w:r>
              <w:rPr>
                <w:rFonts w:hint="eastAsia" w:ascii="Times New Roman" w:hAnsi="Times New Roman" w:eastAsia="宋体" w:cs="Times New Roman"/>
                <w:color w:val="auto"/>
                <w:sz w:val="24"/>
                <w:szCs w:val="24"/>
                <w:highlight w:val="none"/>
                <w:lang w:val="en-US" w:eastAsia="zh-CN"/>
              </w:rPr>
              <w:t>绿色装配式建筑产业园扩建项目</w:t>
            </w:r>
            <w:r>
              <w:rPr>
                <w:rFonts w:hint="default" w:ascii="Times New Roman" w:hAnsi="Times New Roman" w:eastAsia="宋体" w:cs="Times New Roman"/>
                <w:color w:val="auto"/>
                <w:sz w:val="24"/>
                <w:szCs w:val="24"/>
                <w:highlight w:val="none"/>
                <w:lang w:val="en-US" w:eastAsia="zh-CN"/>
              </w:rPr>
              <w:t>验收监测报告表。</w:t>
            </w:r>
          </w:p>
          <w:p>
            <w:pPr>
              <w:spacing w:line="360" w:lineRule="auto"/>
              <w:ind w:firstLine="482" w:firstLineChars="200"/>
              <w:contextualSpacing/>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本次验收范围为已</w:t>
            </w:r>
            <w:r>
              <w:rPr>
                <w:rFonts w:hint="eastAsia" w:ascii="Times New Roman" w:hAnsi="Times New Roman" w:eastAsia="宋体" w:cs="Times New Roman"/>
                <w:b/>
                <w:bCs/>
                <w:color w:val="auto"/>
                <w:sz w:val="24"/>
                <w:szCs w:val="24"/>
                <w:highlight w:val="none"/>
                <w:lang w:val="en-US" w:eastAsia="zh-CN"/>
              </w:rPr>
              <w:t>扩建完成</w:t>
            </w:r>
            <w:r>
              <w:rPr>
                <w:rFonts w:hint="default" w:ascii="Times New Roman" w:hAnsi="Times New Roman" w:eastAsia="宋体" w:cs="Times New Roman"/>
                <w:b/>
                <w:bCs/>
                <w:color w:val="auto"/>
                <w:sz w:val="24"/>
                <w:szCs w:val="24"/>
                <w:highlight w:val="none"/>
                <w:lang w:val="en-US" w:eastAsia="zh-CN"/>
              </w:rPr>
              <w:t>的年产复合免拆保温模板100万m</w:t>
            </w:r>
            <w:r>
              <w:rPr>
                <w:rFonts w:hint="default" w:ascii="Times New Roman" w:hAnsi="Times New Roman" w:eastAsia="宋体" w:cs="Times New Roman"/>
                <w:b/>
                <w:bCs/>
                <w:color w:val="auto"/>
                <w:sz w:val="24"/>
                <w:szCs w:val="24"/>
                <w:highlight w:val="none"/>
                <w:vertAlign w:val="superscript"/>
                <w:lang w:val="en-US" w:eastAsia="zh-CN"/>
              </w:rPr>
              <w:t>2</w:t>
            </w:r>
            <w:r>
              <w:rPr>
                <w:rFonts w:hint="default" w:ascii="Times New Roman" w:hAnsi="Times New Roman" w:eastAsia="宋体" w:cs="Times New Roman"/>
                <w:b/>
                <w:bCs/>
                <w:color w:val="auto"/>
                <w:sz w:val="24"/>
                <w:szCs w:val="24"/>
                <w:highlight w:val="none"/>
                <w:lang w:val="en-US" w:eastAsia="zh-CN"/>
              </w:rPr>
              <w:t>、叠合楼板100万m</w:t>
            </w:r>
            <w:r>
              <w:rPr>
                <w:rFonts w:hint="default" w:ascii="Times New Roman" w:hAnsi="Times New Roman" w:eastAsia="宋体" w:cs="Times New Roman"/>
                <w:b/>
                <w:bCs/>
                <w:color w:val="auto"/>
                <w:sz w:val="24"/>
                <w:szCs w:val="24"/>
                <w:highlight w:val="none"/>
                <w:vertAlign w:val="superscript"/>
                <w:lang w:val="en-US" w:eastAsia="zh-CN"/>
              </w:rPr>
              <w:t xml:space="preserve">2 </w:t>
            </w:r>
            <w:r>
              <w:rPr>
                <w:rFonts w:hint="default" w:ascii="Times New Roman" w:hAnsi="Times New Roman" w:eastAsia="宋体" w:cs="Times New Roman"/>
                <w:b/>
                <w:bCs/>
                <w:color w:val="auto"/>
                <w:sz w:val="24"/>
                <w:szCs w:val="24"/>
                <w:highlight w:val="none"/>
                <w:lang w:val="en-US" w:eastAsia="zh-CN"/>
              </w:rPr>
              <w:t>、PC构件5万m</w:t>
            </w:r>
            <w:r>
              <w:rPr>
                <w:rFonts w:hint="default" w:ascii="Times New Roman" w:hAnsi="Times New Roman" w:eastAsia="宋体" w:cs="Times New Roman"/>
                <w:b/>
                <w:bCs/>
                <w:color w:val="auto"/>
                <w:sz w:val="24"/>
                <w:szCs w:val="24"/>
                <w:highlight w:val="none"/>
                <w:vertAlign w:val="superscript"/>
                <w:lang w:val="en-US" w:eastAsia="zh-CN"/>
              </w:rPr>
              <w:t>3</w:t>
            </w:r>
            <w:r>
              <w:rPr>
                <w:rFonts w:hint="default" w:ascii="Times New Roman" w:hAnsi="Times New Roman" w:eastAsia="宋体" w:cs="Times New Roman"/>
                <w:b/>
                <w:bCs/>
                <w:color w:val="auto"/>
                <w:sz w:val="24"/>
                <w:szCs w:val="24"/>
                <w:highlight w:val="none"/>
                <w:lang w:val="en-US" w:eastAsia="zh-CN"/>
              </w:rPr>
              <w:t>、商品混凝土95万m</w:t>
            </w:r>
            <w:r>
              <w:rPr>
                <w:rFonts w:hint="default" w:ascii="Times New Roman" w:hAnsi="Times New Roman" w:eastAsia="宋体" w:cs="Times New Roman"/>
                <w:b/>
                <w:bCs/>
                <w:color w:val="auto"/>
                <w:sz w:val="24"/>
                <w:szCs w:val="24"/>
                <w:highlight w:val="none"/>
                <w:vertAlign w:val="superscript"/>
                <w:lang w:val="en-US" w:eastAsia="zh-CN"/>
              </w:rPr>
              <w:t>3</w:t>
            </w:r>
            <w:r>
              <w:rPr>
                <w:rFonts w:hint="default" w:ascii="Times New Roman" w:hAnsi="Times New Roman" w:eastAsia="宋体" w:cs="Times New Roman"/>
                <w:b/>
                <w:bCs/>
                <w:color w:val="auto"/>
                <w:sz w:val="24"/>
                <w:szCs w:val="24"/>
                <w:highlight w:val="none"/>
                <w:lang w:val="en-US" w:eastAsia="zh-CN"/>
              </w:rPr>
              <w:t>及配套的环保设施。</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地理位置</w:t>
            </w:r>
          </w:p>
          <w:p>
            <w:pPr>
              <w:spacing w:line="360" w:lineRule="auto"/>
              <w:ind w:firstLine="480" w:firstLineChars="200"/>
              <w:contextualSpacing/>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位于新疆库尔勒经济技术开发区康盛路西侧，项目区东侧为空地，南侧为空地，北侧为中油能源加油加气站，西侧为空地，中心地理坐标为（东经：86°11'53.280"；北纬：41°40'24.420"）。本项目地理位置见附图1。平面布置图见附图2。</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3、项目建成内容及规模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3.1建设内容</w:t>
            </w:r>
          </w:p>
          <w:p>
            <w:pPr>
              <w:spacing w:line="360" w:lineRule="auto"/>
              <w:ind w:firstLine="480" w:firstLineChars="200"/>
              <w:contextualSpacing/>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本项目占地面积为140928.01平方米（约</w:t>
            </w:r>
            <w:r>
              <w:rPr>
                <w:rFonts w:hint="eastAsia" w:ascii="Times New Roman" w:hAnsi="Times New Roman" w:eastAsia="宋体" w:cs="Times New Roman"/>
                <w:color w:val="auto"/>
                <w:sz w:val="24"/>
                <w:szCs w:val="24"/>
                <w:highlight w:val="none"/>
                <w:lang w:val="en-US" w:eastAsia="zh-CN"/>
              </w:rPr>
              <w:t>211.39</w:t>
            </w:r>
            <w:r>
              <w:rPr>
                <w:rFonts w:hint="default" w:ascii="Times New Roman" w:hAnsi="Times New Roman" w:eastAsia="宋体" w:cs="Times New Roman"/>
                <w:color w:val="auto"/>
                <w:sz w:val="24"/>
                <w:szCs w:val="24"/>
                <w:highlight w:val="none"/>
                <w:lang w:val="en-US" w:eastAsia="zh-CN"/>
              </w:rPr>
              <w:t>亩），建设性质为</w:t>
            </w:r>
            <w:r>
              <w:rPr>
                <w:rFonts w:hint="eastAsia" w:ascii="Times New Roman" w:hAnsi="Times New Roman" w:eastAsia="宋体" w:cs="Times New Roman"/>
                <w:color w:val="auto"/>
                <w:sz w:val="24"/>
                <w:szCs w:val="24"/>
                <w:highlight w:val="none"/>
                <w:lang w:val="en-US" w:eastAsia="zh-CN"/>
              </w:rPr>
              <w:t>扩</w:t>
            </w:r>
            <w:r>
              <w:rPr>
                <w:rFonts w:hint="default" w:ascii="Times New Roman" w:hAnsi="Times New Roman" w:eastAsia="宋体" w:cs="Times New Roman"/>
                <w:color w:val="auto"/>
                <w:sz w:val="24"/>
                <w:szCs w:val="24"/>
                <w:highlight w:val="none"/>
                <w:lang w:val="en-US" w:eastAsia="zh-CN"/>
              </w:rPr>
              <w:t>建。</w:t>
            </w:r>
            <w:r>
              <w:rPr>
                <w:rFonts w:hint="eastAsia" w:ascii="Times New Roman" w:hAnsi="Times New Roman" w:eastAsia="宋体" w:cs="Times New Roman"/>
                <w:color w:val="auto"/>
                <w:sz w:val="24"/>
                <w:szCs w:val="24"/>
                <w:highlight w:val="none"/>
                <w:lang w:val="en-US" w:eastAsia="zh-CN"/>
              </w:rPr>
              <w:t>建设</w:t>
            </w:r>
            <w:r>
              <w:rPr>
                <w:rFonts w:hint="default" w:ascii="Times New Roman" w:hAnsi="Times New Roman" w:eastAsia="宋体" w:cs="Times New Roman"/>
                <w:color w:val="auto"/>
                <w:sz w:val="24"/>
                <w:szCs w:val="24"/>
                <w:highlight w:val="none"/>
                <w:lang w:val="en-US" w:eastAsia="zh-CN"/>
              </w:rPr>
              <w:t>内容为：年产100万m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复合免拆保温模板、100万m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叠合楼板、PC构件5万m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、商品混凝土95万m</w:t>
            </w:r>
            <w:r>
              <w:rPr>
                <w:rFonts w:hint="default"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vertAlign w:val="baseline"/>
                <w:lang w:val="en-US" w:eastAsia="zh-CN"/>
              </w:rPr>
              <w:t>，</w:t>
            </w:r>
            <w:r>
              <w:rPr>
                <w:rFonts w:hint="eastAsia"/>
                <w:color w:val="auto"/>
                <w:sz w:val="24"/>
                <w:highlight w:val="none"/>
                <w:vertAlign w:val="baseline"/>
                <w:lang w:val="en-US" w:eastAsia="zh-CN"/>
              </w:rPr>
              <w:t>新增1座危废暂存间（10m</w:t>
            </w:r>
            <w:r>
              <w:rPr>
                <w:rFonts w:hint="eastAsia"/>
                <w:color w:val="auto"/>
                <w:sz w:val="24"/>
                <w:highlight w:val="none"/>
                <w:vertAlign w:val="superscript"/>
                <w:lang w:val="en-US" w:eastAsia="zh-CN"/>
              </w:rPr>
              <w:t>2</w:t>
            </w:r>
            <w:r>
              <w:rPr>
                <w:rFonts w:hint="eastAsia"/>
                <w:color w:val="auto"/>
                <w:sz w:val="24"/>
                <w:highlight w:val="none"/>
                <w:vertAlign w:val="baseline"/>
                <w:lang w:val="en-US" w:eastAsia="zh-CN"/>
              </w:rPr>
              <w:t>），2台4t/h的天然气锅炉（未建设），</w:t>
            </w:r>
            <w:r>
              <w:rPr>
                <w:rFonts w:hint="eastAsia" w:ascii="Times New Roman" w:hAnsi="Times New Roman" w:eastAsia="宋体" w:cs="Times New Roman"/>
                <w:color w:val="auto"/>
                <w:sz w:val="24"/>
                <w:highlight w:val="none"/>
              </w:rPr>
              <w:t>用于蒸汽养护</w:t>
            </w:r>
            <w:r>
              <w:rPr>
                <w:rFonts w:hint="default" w:ascii="Times New Roman" w:hAnsi="Times New Roman" w:eastAsia="宋体" w:cs="Times New Roman"/>
                <w:color w:val="auto"/>
                <w:sz w:val="24"/>
                <w:szCs w:val="24"/>
                <w:highlight w:val="none"/>
                <w:lang w:val="en-US" w:eastAsia="zh-CN"/>
              </w:rPr>
              <w:t>。本项目工程组成见表3.1-1。</w:t>
            </w:r>
          </w:p>
          <w:p>
            <w:pPr>
              <w:pStyle w:val="43"/>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kern w:val="0"/>
                <w:sz w:val="21"/>
                <w:szCs w:val="21"/>
                <w:lang w:val="en-US" w:eastAsia="zh-CN" w:bidi="ar-SA"/>
              </w:rPr>
            </w:pPr>
            <w:r>
              <w:rPr>
                <w:rFonts w:hint="default" w:ascii="Times New Roman" w:hAnsi="Times New Roman" w:eastAsia="宋体" w:cs="Times New Roman"/>
                <w:b/>
                <w:bCs/>
                <w:kern w:val="0"/>
                <w:sz w:val="21"/>
                <w:szCs w:val="21"/>
                <w:lang w:val="en-US" w:eastAsia="zh-CN" w:bidi="ar-SA"/>
              </w:rPr>
              <w:t>表3.-1本项目主要建设内容一览表</w:t>
            </w:r>
          </w:p>
          <w:tbl>
            <w:tblPr>
              <w:tblStyle w:val="23"/>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58"/>
              <w:gridCol w:w="1523"/>
              <w:gridCol w:w="1340"/>
              <w:gridCol w:w="2160"/>
              <w:gridCol w:w="2332"/>
              <w:gridCol w:w="11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1"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序号</w:t>
                  </w:r>
                </w:p>
              </w:tc>
              <w:tc>
                <w:tcPr>
                  <w:tcW w:w="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建设内容</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数量</w:t>
                  </w: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备注</w:t>
                  </w:r>
                </w:p>
              </w:tc>
              <w:tc>
                <w:tcPr>
                  <w:tcW w:w="1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sz w:val="21"/>
                      <w:szCs w:val="21"/>
                      <w:highlight w:val="none"/>
                      <w:lang w:eastAsia="zh-CN"/>
                    </w:rPr>
                    <w:t>实际建设内容</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实际与环评比对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1"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1#厂房</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36700</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2</w:t>
                  </w: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钢结构，1F</w:t>
                  </w:r>
                </w:p>
              </w:tc>
              <w:tc>
                <w:tcPr>
                  <w:tcW w:w="1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b w:val="0"/>
                      <w:i w:val="0"/>
                      <w:iCs w:val="0"/>
                      <w:caps w:val="0"/>
                      <w:color w:val="000000"/>
                      <w:spacing w:val="0"/>
                      <w:w w:val="100"/>
                      <w:kern w:val="0"/>
                      <w:sz w:val="21"/>
                      <w:szCs w:val="21"/>
                      <w:highlight w:val="none"/>
                      <w:lang w:val="en-US" w:eastAsia="zh-CN" w:bidi="ar"/>
                    </w:rPr>
                    <w:t>36700</w:t>
                  </w:r>
                  <w:r>
                    <w:rPr>
                      <w:rFonts w:hint="default" w:ascii="Times New Roman" w:hAnsi="Times New Roman" w:eastAsia="宋体" w:cs="Times New Roman"/>
                      <w:b w:val="0"/>
                      <w:i w:val="0"/>
                      <w:iCs w:val="0"/>
                      <w:caps w:val="0"/>
                      <w:color w:val="000000"/>
                      <w:spacing w:val="0"/>
                      <w:w w:val="100"/>
                      <w:kern w:val="0"/>
                      <w:sz w:val="21"/>
                      <w:szCs w:val="21"/>
                      <w:highlight w:val="none"/>
                      <w:lang w:val="en-US" w:eastAsia="zh-CN" w:bidi="ar"/>
                    </w:rPr>
                    <w:t>m</w:t>
                  </w:r>
                  <w:r>
                    <w:rPr>
                      <w:rFonts w:hint="default" w:ascii="Times New Roman" w:hAnsi="Times New Roman" w:eastAsia="宋体" w:cs="Times New Roman"/>
                      <w:b w:val="0"/>
                      <w:i w:val="0"/>
                      <w:iCs w:val="0"/>
                      <w:caps w:val="0"/>
                      <w:color w:val="000000"/>
                      <w:spacing w:val="0"/>
                      <w:w w:val="100"/>
                      <w:kern w:val="0"/>
                      <w:sz w:val="21"/>
                      <w:szCs w:val="21"/>
                      <w:highlight w:val="none"/>
                      <w:vertAlign w:val="superscript"/>
                      <w:lang w:val="en-US" w:eastAsia="zh-CN" w:bidi="ar"/>
                    </w:rPr>
                    <w:t>2</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一致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1"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厂房</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2650</w:t>
                  </w:r>
                  <w:r>
                    <w:rPr>
                      <w:rFonts w:hint="default" w:ascii="Times New Roman" w:hAnsi="Times New Roman" w:eastAsia="宋体" w:cs="Times New Roman"/>
                      <w:i w:val="0"/>
                      <w:iCs w:val="0"/>
                      <w:color w:val="auto"/>
                      <w:kern w:val="0"/>
                      <w:sz w:val="21"/>
                      <w:szCs w:val="21"/>
                      <w:u w:val="no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钢结构，1F</w:t>
                  </w:r>
                </w:p>
              </w:tc>
              <w:tc>
                <w:tcPr>
                  <w:tcW w:w="1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建设中</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不一致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1"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w:t>
                  </w:r>
                </w:p>
              </w:tc>
              <w:tc>
                <w:tcPr>
                  <w:tcW w:w="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3#厂房</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7000</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2</w:t>
                  </w: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钢结构，1F</w:t>
                  </w:r>
                </w:p>
              </w:tc>
              <w:tc>
                <w:tcPr>
                  <w:tcW w:w="1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最新规划中无此厂房</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不一致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4</w:t>
                  </w:r>
                </w:p>
              </w:tc>
              <w:tc>
                <w:tcPr>
                  <w:tcW w:w="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搅拌车间</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1064</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2</w:t>
                  </w: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钢结构，1F</w:t>
                  </w:r>
                </w:p>
              </w:tc>
              <w:tc>
                <w:tcPr>
                  <w:tcW w:w="1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1064</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2</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一致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w:t>
                  </w:r>
                </w:p>
              </w:tc>
              <w:tc>
                <w:tcPr>
                  <w:tcW w:w="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1#办公楼</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1980</w:t>
                  </w:r>
                  <w:r>
                    <w:rPr>
                      <w:rFonts w:hint="default" w:ascii="Times New Roman" w:hAnsi="Times New Roman" w:eastAsia="宋体" w:cs="Times New Roman"/>
                      <w:i w:val="0"/>
                      <w:iCs w:val="0"/>
                      <w:color w:val="auto"/>
                      <w:kern w:val="0"/>
                      <w:sz w:val="21"/>
                      <w:szCs w:val="21"/>
                      <w:u w:val="no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框架结构，2F</w:t>
                  </w:r>
                </w:p>
              </w:tc>
              <w:tc>
                <w:tcPr>
                  <w:tcW w:w="1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1980</w:t>
                  </w:r>
                  <w:r>
                    <w:rPr>
                      <w:rFonts w:hint="default" w:ascii="Times New Roman" w:hAnsi="Times New Roman" w:eastAsia="宋体" w:cs="Times New Roman"/>
                      <w:i w:val="0"/>
                      <w:iCs w:val="0"/>
                      <w:color w:val="auto"/>
                      <w:kern w:val="0"/>
                      <w:sz w:val="21"/>
                      <w:szCs w:val="21"/>
                      <w:u w:val="no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一致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w:t>
                  </w:r>
                </w:p>
              </w:tc>
              <w:tc>
                <w:tcPr>
                  <w:tcW w:w="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2#办公楼</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722</w:t>
                  </w:r>
                  <w:r>
                    <w:rPr>
                      <w:rFonts w:hint="default" w:ascii="Times New Roman" w:hAnsi="Times New Roman" w:eastAsia="宋体" w:cs="Times New Roman"/>
                      <w:i w:val="0"/>
                      <w:iCs w:val="0"/>
                      <w:color w:val="auto"/>
                      <w:kern w:val="0"/>
                      <w:sz w:val="21"/>
                      <w:szCs w:val="21"/>
                      <w:u w:val="no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框架结构，2F</w:t>
                  </w:r>
                </w:p>
              </w:tc>
              <w:tc>
                <w:tcPr>
                  <w:tcW w:w="1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722</w:t>
                  </w:r>
                  <w:r>
                    <w:rPr>
                      <w:rFonts w:hint="default" w:ascii="Times New Roman" w:hAnsi="Times New Roman" w:eastAsia="宋体" w:cs="Times New Roman"/>
                      <w:i w:val="0"/>
                      <w:iCs w:val="0"/>
                      <w:color w:val="auto"/>
                      <w:kern w:val="0"/>
                      <w:sz w:val="21"/>
                      <w:szCs w:val="21"/>
                      <w:u w:val="no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一致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7</w:t>
                  </w:r>
                </w:p>
              </w:tc>
              <w:tc>
                <w:tcPr>
                  <w:tcW w:w="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综合</w:t>
                  </w:r>
                  <w:r>
                    <w:rPr>
                      <w:rFonts w:hint="default" w:ascii="Times New Roman" w:hAnsi="Times New Roman" w:eastAsia="宋体" w:cs="Times New Roman"/>
                      <w:i w:val="0"/>
                      <w:iCs w:val="0"/>
                      <w:color w:val="000000"/>
                      <w:kern w:val="0"/>
                      <w:sz w:val="21"/>
                      <w:szCs w:val="21"/>
                      <w:u w:val="none"/>
                      <w:lang w:val="en-US" w:eastAsia="zh-CN" w:bidi="ar"/>
                    </w:rPr>
                    <w:t>楼</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10400</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2</w:t>
                  </w: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框架</w:t>
                  </w:r>
                  <w:r>
                    <w:rPr>
                      <w:rFonts w:hint="default" w:ascii="Times New Roman" w:hAnsi="Times New Roman" w:eastAsia="宋体" w:cs="Times New Roman"/>
                      <w:i w:val="0"/>
                      <w:iCs w:val="0"/>
                      <w:color w:val="000000"/>
                      <w:kern w:val="0"/>
                      <w:sz w:val="21"/>
                      <w:szCs w:val="21"/>
                      <w:u w:val="none"/>
                      <w:lang w:val="en-US" w:eastAsia="zh-CN" w:bidi="ar"/>
                    </w:rPr>
                    <w:t>结构，</w:t>
                  </w:r>
                  <w:r>
                    <w:rPr>
                      <w:rFonts w:hint="eastAsia" w:ascii="Times New Roman" w:hAnsi="Times New Roman" w:eastAsia="宋体" w:cs="Times New Roman"/>
                      <w:i w:val="0"/>
                      <w:iCs w:val="0"/>
                      <w:color w:val="000000"/>
                      <w:kern w:val="0"/>
                      <w:sz w:val="21"/>
                      <w:szCs w:val="21"/>
                      <w:u w:val="none"/>
                      <w:lang w:val="en-US" w:eastAsia="zh-CN" w:bidi="ar"/>
                    </w:rPr>
                    <w:t>6</w:t>
                  </w:r>
                  <w:r>
                    <w:rPr>
                      <w:rFonts w:hint="default" w:ascii="Times New Roman" w:hAnsi="Times New Roman" w:eastAsia="宋体" w:cs="Times New Roman"/>
                      <w:i w:val="0"/>
                      <w:iCs w:val="0"/>
                      <w:color w:val="000000"/>
                      <w:kern w:val="0"/>
                      <w:sz w:val="21"/>
                      <w:szCs w:val="21"/>
                      <w:u w:val="none"/>
                      <w:lang w:val="en-US" w:eastAsia="zh-CN" w:bidi="ar"/>
                    </w:rPr>
                    <w:t>F</w:t>
                  </w:r>
                </w:p>
              </w:tc>
              <w:tc>
                <w:tcPr>
                  <w:tcW w:w="1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未建设</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不一致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w:t>
                  </w:r>
                </w:p>
              </w:tc>
              <w:tc>
                <w:tcPr>
                  <w:tcW w:w="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工具库房</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727.15</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2</w:t>
                  </w: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1F</w:t>
                  </w:r>
                </w:p>
              </w:tc>
              <w:tc>
                <w:tcPr>
                  <w:tcW w:w="1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727.15</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2</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一致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w:t>
                  </w:r>
                </w:p>
              </w:tc>
              <w:tc>
                <w:tcPr>
                  <w:tcW w:w="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地磅房</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198</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2</w:t>
                  </w: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1F</w:t>
                  </w:r>
                </w:p>
              </w:tc>
              <w:tc>
                <w:tcPr>
                  <w:tcW w:w="1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198</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2</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一致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10</w:t>
                  </w:r>
                </w:p>
              </w:tc>
              <w:tc>
                <w:tcPr>
                  <w:tcW w:w="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门卫室</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48</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2</w:t>
                  </w: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砌体结构，1F</w:t>
                  </w:r>
                </w:p>
              </w:tc>
              <w:tc>
                <w:tcPr>
                  <w:tcW w:w="1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48</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2</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一致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11</w:t>
                  </w:r>
                </w:p>
              </w:tc>
              <w:tc>
                <w:tcPr>
                  <w:tcW w:w="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路面硬化</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62778.56</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2</w:t>
                  </w: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p>
              </w:tc>
              <w:tc>
                <w:tcPr>
                  <w:tcW w:w="1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硬化率80%</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不一致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12</w:t>
                  </w:r>
                </w:p>
              </w:tc>
              <w:tc>
                <w:tcPr>
                  <w:tcW w:w="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1#原料仓</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6700</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2</w:t>
                  </w: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钢结构，1F，层高8米</w:t>
                  </w:r>
                </w:p>
              </w:tc>
              <w:tc>
                <w:tcPr>
                  <w:tcW w:w="1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6700</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2</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一致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13</w:t>
                  </w:r>
                </w:p>
              </w:tc>
              <w:tc>
                <w:tcPr>
                  <w:tcW w:w="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堆场</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26947</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2</w:t>
                  </w: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硬化地面</w:t>
                  </w:r>
                </w:p>
              </w:tc>
              <w:tc>
                <w:tcPr>
                  <w:tcW w:w="1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未建设</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不一致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14</w:t>
                  </w:r>
                </w:p>
              </w:tc>
              <w:tc>
                <w:tcPr>
                  <w:tcW w:w="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筒仓</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szCs w:val="21"/>
                      <w:lang w:val="en-US" w:eastAsia="zh-CN"/>
                    </w:rPr>
                    <w:t>1200t</w:t>
                  </w: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olor w:val="auto"/>
                      <w:szCs w:val="21"/>
                      <w:lang w:val="en-US" w:eastAsia="zh-CN"/>
                    </w:rPr>
                    <w:t>1#水泥筒仓（300t）、2#水泥筒仓（300t）、3#矿粉罐（300t）、4#粉煤灰筒仓（300t）</w:t>
                  </w:r>
                </w:p>
              </w:tc>
              <w:tc>
                <w:tcPr>
                  <w:tcW w:w="1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olor w:val="auto"/>
                      <w:szCs w:val="21"/>
                      <w:lang w:val="en-US" w:eastAsia="zh-CN"/>
                    </w:rPr>
                    <w:t>1#水泥筒仓（300t）、2#水泥筒仓（300t）、3#矿粉罐（300t）、4#粉煤灰筒仓（300t）</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一致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15</w:t>
                  </w:r>
                </w:p>
              </w:tc>
              <w:tc>
                <w:tcPr>
                  <w:tcW w:w="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危废暂存间</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color w:val="auto"/>
                      <w:szCs w:val="21"/>
                      <w:lang w:val="en-US" w:eastAsia="zh-CN"/>
                    </w:rPr>
                  </w:pPr>
                  <w:r>
                    <w:rPr>
                      <w:rFonts w:hint="eastAsia"/>
                      <w:color w:val="auto"/>
                      <w:szCs w:val="21"/>
                      <w:lang w:val="en-US" w:eastAsia="zh-CN"/>
                    </w:rPr>
                    <w:t>10</w:t>
                  </w:r>
                  <w:r>
                    <w:rPr>
                      <w:rFonts w:hint="default" w:ascii="Times New Roman" w:hAnsi="Times New Roman" w:eastAsia="宋体" w:cs="Times New Roman"/>
                      <w:i w:val="0"/>
                      <w:iCs w:val="0"/>
                      <w:color w:val="auto"/>
                      <w:kern w:val="0"/>
                      <w:sz w:val="21"/>
                      <w:szCs w:val="21"/>
                      <w:u w:val="no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color w:val="auto"/>
                      <w:szCs w:val="21"/>
                      <w:lang w:val="en-US" w:eastAsia="zh-CN"/>
                    </w:rPr>
                  </w:pPr>
                  <w:r>
                    <w:rPr>
                      <w:rFonts w:hint="eastAsia"/>
                      <w:color w:val="auto"/>
                      <w:szCs w:val="21"/>
                      <w:lang w:val="en-US" w:eastAsia="zh-CN"/>
                    </w:rPr>
                    <w:t>/</w:t>
                  </w:r>
                </w:p>
              </w:tc>
              <w:tc>
                <w:tcPr>
                  <w:tcW w:w="1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color w:val="auto"/>
                      <w:szCs w:val="21"/>
                      <w:lang w:val="en-US" w:eastAsia="zh-CN"/>
                    </w:rPr>
                  </w:pPr>
                  <w:r>
                    <w:rPr>
                      <w:rFonts w:hint="eastAsia"/>
                      <w:color w:val="auto"/>
                      <w:szCs w:val="21"/>
                      <w:lang w:val="en-US" w:eastAsia="zh-CN"/>
                    </w:rPr>
                    <w:t>10</w:t>
                  </w:r>
                  <w:r>
                    <w:rPr>
                      <w:rFonts w:hint="default" w:ascii="Times New Roman" w:hAnsi="Times New Roman" w:eastAsia="宋体" w:cs="Times New Roman"/>
                      <w:i w:val="0"/>
                      <w:iCs w:val="0"/>
                      <w:color w:val="auto"/>
                      <w:kern w:val="0"/>
                      <w:sz w:val="21"/>
                      <w:szCs w:val="21"/>
                      <w:u w:val="no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一致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1"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16</w:t>
                  </w:r>
                </w:p>
              </w:tc>
              <w:tc>
                <w:tcPr>
                  <w:tcW w:w="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规划总用地面积</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140928.01</w:t>
                  </w:r>
                  <w:r>
                    <w:rPr>
                      <w:rFonts w:hint="default" w:ascii="Times New Roman" w:hAnsi="Times New Roman" w:eastAsia="宋体" w:cs="Times New Roman"/>
                      <w:i w:val="0"/>
                      <w:iCs w:val="0"/>
                      <w:color w:val="auto"/>
                      <w:kern w:val="0"/>
                      <w:sz w:val="21"/>
                      <w:szCs w:val="21"/>
                      <w:u w:val="no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约</w:t>
                  </w:r>
                  <w:r>
                    <w:rPr>
                      <w:rFonts w:hint="eastAsia" w:ascii="Times New Roman" w:hAnsi="Times New Roman" w:eastAsia="宋体" w:cs="Times New Roman"/>
                      <w:i w:val="0"/>
                      <w:iCs w:val="0"/>
                      <w:color w:val="auto"/>
                      <w:kern w:val="0"/>
                      <w:sz w:val="21"/>
                      <w:szCs w:val="21"/>
                      <w:u w:val="none"/>
                      <w:lang w:val="en-US" w:eastAsia="zh-CN" w:bidi="ar"/>
                    </w:rPr>
                    <w:t>211.39</w:t>
                  </w:r>
                  <w:r>
                    <w:rPr>
                      <w:rFonts w:hint="default" w:ascii="Times New Roman" w:hAnsi="Times New Roman" w:eastAsia="宋体" w:cs="Times New Roman"/>
                      <w:i w:val="0"/>
                      <w:iCs w:val="0"/>
                      <w:color w:val="auto"/>
                      <w:kern w:val="0"/>
                      <w:sz w:val="21"/>
                      <w:szCs w:val="21"/>
                      <w:u w:val="none"/>
                      <w:lang w:val="en-US" w:eastAsia="zh-CN" w:bidi="ar"/>
                    </w:rPr>
                    <w:t>亩</w:t>
                  </w:r>
                </w:p>
              </w:tc>
              <w:tc>
                <w:tcPr>
                  <w:tcW w:w="1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140928.01</w:t>
                  </w:r>
                  <w:r>
                    <w:rPr>
                      <w:rFonts w:hint="default" w:ascii="Times New Roman" w:hAnsi="Times New Roman" w:eastAsia="宋体" w:cs="Times New Roman"/>
                      <w:i w:val="0"/>
                      <w:iCs w:val="0"/>
                      <w:color w:val="auto"/>
                      <w:kern w:val="0"/>
                      <w:sz w:val="21"/>
                      <w:szCs w:val="21"/>
                      <w:u w:val="no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一致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1"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17</w:t>
                  </w:r>
                </w:p>
              </w:tc>
              <w:tc>
                <w:tcPr>
                  <w:tcW w:w="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总建筑面积</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66552</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2</w:t>
                  </w: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sz w:val="21"/>
                      <w:szCs w:val="21"/>
                      <w:u w:val="none"/>
                      <w:lang w:val="en-US" w:eastAsia="zh-CN"/>
                    </w:rPr>
                    <w:t>/</w:t>
                  </w:r>
                </w:p>
              </w:tc>
              <w:tc>
                <w:tcPr>
                  <w:tcW w:w="13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54813.15</w:t>
                  </w:r>
                  <w:r>
                    <w:rPr>
                      <w:rFonts w:hint="default" w:ascii="Times New Roman" w:hAnsi="Times New Roman" w:eastAsia="宋体" w:cs="Times New Roman"/>
                      <w:i w:val="0"/>
                      <w:iCs w:val="0"/>
                      <w:color w:val="auto"/>
                      <w:kern w:val="0"/>
                      <w:sz w:val="21"/>
                      <w:szCs w:val="21"/>
                      <w:u w:val="no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不一致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1"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18</w:t>
                  </w:r>
                </w:p>
              </w:tc>
              <w:tc>
                <w:tcPr>
                  <w:tcW w:w="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总占地面积</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140928.01</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2</w:t>
                  </w: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lang w:val="en-US" w:eastAsia="zh-CN"/>
                    </w:rPr>
                    <w:t>/</w:t>
                  </w:r>
                </w:p>
              </w:tc>
              <w:tc>
                <w:tcPr>
                  <w:tcW w:w="13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40928.01</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2</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一致</w:t>
                  </w:r>
                </w:p>
              </w:tc>
            </w:tr>
          </w:tbl>
          <w:p>
            <w:pPr>
              <w:widowControl/>
              <w:spacing w:line="360" w:lineRule="auto"/>
              <w:ind w:firstLine="482" w:firstLineChars="200"/>
              <w:rPr>
                <w:rFonts w:hint="default" w:ascii="Times New Roman" w:hAnsi="Times New Roman" w:eastAsia="宋体" w:cs="Times New Roman"/>
                <w:sz w:val="24"/>
              </w:rPr>
            </w:pPr>
            <w:r>
              <w:rPr>
                <w:rFonts w:hint="default" w:ascii="Times New Roman" w:hAnsi="Times New Roman" w:eastAsia="宋体" w:cs="Times New Roman"/>
                <w:b/>
                <w:kern w:val="0"/>
                <w:sz w:val="24"/>
                <w:lang w:val="en-US" w:eastAsia="zh-CN"/>
              </w:rPr>
              <w:t>3.2</w:t>
            </w:r>
            <w:r>
              <w:rPr>
                <w:rFonts w:hint="default" w:ascii="Times New Roman" w:hAnsi="Times New Roman" w:eastAsia="宋体" w:cs="Times New Roman"/>
                <w:b/>
                <w:kern w:val="0"/>
                <w:sz w:val="24"/>
              </w:rPr>
              <w:t>项目规模</w:t>
            </w:r>
          </w:p>
          <w:p>
            <w:pPr>
              <w:widowControl/>
              <w:spacing w:line="360" w:lineRule="auto"/>
              <w:ind w:firstLine="480" w:firstLineChars="200"/>
              <w:rPr>
                <w:rFonts w:hint="default" w:ascii="Times New Roman" w:hAnsi="Times New Roman" w:eastAsia="宋体" w:cs="Times New Roman"/>
                <w:kern w:val="0"/>
                <w:sz w:val="24"/>
                <w:highlight w:val="none"/>
                <w:lang w:eastAsia="zh-CN"/>
              </w:rPr>
            </w:pPr>
            <w:r>
              <w:rPr>
                <w:rFonts w:hint="default" w:ascii="Times New Roman" w:hAnsi="Times New Roman" w:eastAsia="宋体" w:cs="Times New Roman"/>
                <w:kern w:val="0"/>
                <w:sz w:val="24"/>
                <w:highlight w:val="none"/>
                <w:lang w:eastAsia="zh-CN"/>
              </w:rPr>
              <w:t>年生</w:t>
            </w:r>
            <w:r>
              <w:rPr>
                <w:rFonts w:hint="eastAsia"/>
                <w:color w:val="auto"/>
                <w:sz w:val="24"/>
                <w:highlight w:val="none"/>
                <w:lang w:val="en-US" w:eastAsia="zh-CN"/>
              </w:rPr>
              <w:t>产</w:t>
            </w:r>
            <w:r>
              <w:rPr>
                <w:rFonts w:hint="default" w:ascii="Times New Roman" w:hAnsi="Times New Roman" w:eastAsia="宋体" w:cs="Times New Roman"/>
                <w:kern w:val="0"/>
                <w:sz w:val="24"/>
                <w:highlight w:val="none"/>
                <w:lang w:val="en-US" w:eastAsia="zh-CN"/>
              </w:rPr>
              <w:t>100</w:t>
            </w:r>
            <w:r>
              <w:rPr>
                <w:rFonts w:hint="default" w:ascii="Times New Roman" w:hAnsi="Times New Roman" w:eastAsia="宋体" w:cs="Times New Roman"/>
                <w:kern w:val="0"/>
                <w:sz w:val="24"/>
                <w:highlight w:val="none"/>
                <w:lang w:eastAsia="zh-CN"/>
              </w:rPr>
              <w:t>万m</w:t>
            </w:r>
            <w:r>
              <w:rPr>
                <w:rFonts w:hint="default" w:ascii="Times New Roman" w:hAnsi="Times New Roman" w:eastAsia="宋体" w:cs="Times New Roman"/>
                <w:kern w:val="0"/>
                <w:sz w:val="24"/>
                <w:highlight w:val="none"/>
                <w:vertAlign w:val="superscript"/>
                <w:lang w:eastAsia="zh-CN"/>
              </w:rPr>
              <w:t>2</w:t>
            </w:r>
            <w:r>
              <w:rPr>
                <w:rFonts w:hint="default" w:ascii="Times New Roman" w:hAnsi="Times New Roman" w:eastAsia="宋体" w:cs="Times New Roman"/>
                <w:kern w:val="0"/>
                <w:sz w:val="24"/>
                <w:highlight w:val="none"/>
                <w:lang w:eastAsia="zh-CN"/>
              </w:rPr>
              <w:t>复合免拆保温模板、</w:t>
            </w:r>
            <w:r>
              <w:rPr>
                <w:rFonts w:hint="default" w:ascii="Times New Roman" w:hAnsi="Times New Roman" w:eastAsia="宋体" w:cs="Times New Roman"/>
                <w:kern w:val="0"/>
                <w:sz w:val="24"/>
                <w:highlight w:val="none"/>
                <w:lang w:val="en-US" w:eastAsia="zh-CN"/>
              </w:rPr>
              <w:t>100</w:t>
            </w:r>
            <w:r>
              <w:rPr>
                <w:rFonts w:hint="default" w:ascii="Times New Roman" w:hAnsi="Times New Roman" w:eastAsia="宋体" w:cs="Times New Roman"/>
                <w:kern w:val="0"/>
                <w:sz w:val="24"/>
                <w:highlight w:val="none"/>
                <w:lang w:eastAsia="zh-CN"/>
              </w:rPr>
              <w:t>万m</w:t>
            </w:r>
            <w:r>
              <w:rPr>
                <w:rFonts w:hint="default" w:ascii="Times New Roman" w:hAnsi="Times New Roman" w:eastAsia="宋体" w:cs="Times New Roman"/>
                <w:kern w:val="0"/>
                <w:sz w:val="24"/>
                <w:highlight w:val="none"/>
                <w:vertAlign w:val="superscript"/>
                <w:lang w:eastAsia="zh-CN"/>
              </w:rPr>
              <w:t>2</w:t>
            </w:r>
            <w:r>
              <w:rPr>
                <w:rFonts w:hint="default" w:ascii="Times New Roman" w:hAnsi="Times New Roman" w:eastAsia="宋体" w:cs="Times New Roman"/>
                <w:kern w:val="0"/>
                <w:sz w:val="24"/>
                <w:highlight w:val="none"/>
                <w:lang w:eastAsia="zh-CN"/>
              </w:rPr>
              <w:t>叠合楼板、PC构件</w:t>
            </w:r>
            <w:r>
              <w:rPr>
                <w:rFonts w:hint="default" w:ascii="Times New Roman" w:hAnsi="Times New Roman" w:eastAsia="宋体" w:cs="Times New Roman"/>
                <w:kern w:val="0"/>
                <w:sz w:val="24"/>
                <w:highlight w:val="none"/>
                <w:lang w:val="en-US" w:eastAsia="zh-CN"/>
              </w:rPr>
              <w:t>5</w:t>
            </w:r>
            <w:r>
              <w:rPr>
                <w:rFonts w:hint="default" w:ascii="Times New Roman" w:hAnsi="Times New Roman" w:eastAsia="宋体" w:cs="Times New Roman"/>
                <w:kern w:val="0"/>
                <w:sz w:val="24"/>
                <w:highlight w:val="none"/>
                <w:lang w:eastAsia="zh-CN"/>
              </w:rPr>
              <w:t>万m</w:t>
            </w:r>
            <w:r>
              <w:rPr>
                <w:rFonts w:hint="default" w:ascii="Times New Roman" w:hAnsi="Times New Roman" w:eastAsia="宋体" w:cs="Times New Roman"/>
                <w:kern w:val="0"/>
                <w:sz w:val="24"/>
                <w:highlight w:val="none"/>
                <w:vertAlign w:val="superscript"/>
                <w:lang w:eastAsia="zh-CN"/>
              </w:rPr>
              <w:t>3</w:t>
            </w:r>
            <w:r>
              <w:rPr>
                <w:rFonts w:hint="default" w:ascii="Times New Roman" w:hAnsi="Times New Roman" w:eastAsia="宋体" w:cs="Times New Roman"/>
                <w:kern w:val="0"/>
                <w:sz w:val="24"/>
                <w:highlight w:val="none"/>
                <w:lang w:eastAsia="zh-CN"/>
              </w:rPr>
              <w:t>、商品混凝土</w:t>
            </w:r>
            <w:r>
              <w:rPr>
                <w:rFonts w:hint="default" w:ascii="Times New Roman" w:hAnsi="Times New Roman" w:eastAsia="宋体" w:cs="Times New Roman"/>
                <w:kern w:val="0"/>
                <w:sz w:val="24"/>
                <w:highlight w:val="none"/>
                <w:lang w:val="en-US" w:eastAsia="zh-CN"/>
              </w:rPr>
              <w:t>95</w:t>
            </w:r>
            <w:r>
              <w:rPr>
                <w:rFonts w:hint="default" w:ascii="Times New Roman" w:hAnsi="Times New Roman" w:eastAsia="宋体" w:cs="Times New Roman"/>
                <w:kern w:val="0"/>
                <w:sz w:val="24"/>
                <w:highlight w:val="none"/>
                <w:lang w:eastAsia="zh-CN"/>
              </w:rPr>
              <w:t>万m</w:t>
            </w:r>
            <w:r>
              <w:rPr>
                <w:rFonts w:hint="default" w:ascii="Times New Roman" w:hAnsi="Times New Roman" w:eastAsia="宋体" w:cs="Times New Roman"/>
                <w:kern w:val="0"/>
                <w:sz w:val="24"/>
                <w:highlight w:val="none"/>
                <w:vertAlign w:val="superscript"/>
                <w:lang w:eastAsia="zh-CN"/>
              </w:rPr>
              <w:t>3</w:t>
            </w:r>
            <w:r>
              <w:rPr>
                <w:rFonts w:hint="default" w:ascii="Times New Roman" w:hAnsi="Times New Roman" w:eastAsia="宋体" w:cs="Times New Roman"/>
                <w:kern w:val="0"/>
                <w:sz w:val="24"/>
                <w:highlight w:val="none"/>
                <w:lang w:eastAsia="zh-CN"/>
              </w:rPr>
              <w:t>。</w:t>
            </w:r>
          </w:p>
          <w:p>
            <w:pPr>
              <w:widowControl/>
              <w:jc w:val="center"/>
              <w:rPr>
                <w:rFonts w:hint="default" w:ascii="Times New Roman" w:hAnsi="Times New Roman" w:eastAsia="宋体" w:cs="Times New Roman"/>
                <w:b/>
                <w:bCs/>
                <w:kern w:val="0"/>
                <w:szCs w:val="21"/>
                <w:lang w:val="en-US" w:eastAsia="zh-CN"/>
              </w:rPr>
            </w:pPr>
            <w:r>
              <w:rPr>
                <w:rFonts w:hint="default" w:ascii="Times New Roman" w:hAnsi="Times New Roman" w:eastAsia="宋体" w:cs="Times New Roman"/>
                <w:b/>
                <w:bCs/>
                <w:kern w:val="0"/>
                <w:szCs w:val="21"/>
                <w:lang w:val="en-US" w:eastAsia="zh-CN"/>
              </w:rPr>
              <w:t>表3.2-1产品方案一览表</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0"/>
              <w:gridCol w:w="2466"/>
              <w:gridCol w:w="2002"/>
              <w:gridCol w:w="2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pct"/>
                  <w:vAlign w:val="center"/>
                </w:tcPr>
                <w:p>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序号</w:t>
                  </w:r>
                </w:p>
              </w:tc>
              <w:tc>
                <w:tcPr>
                  <w:tcW w:w="1380" w:type="pct"/>
                  <w:vAlign w:val="center"/>
                </w:tcPr>
                <w:p>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产品名称</w:t>
                  </w:r>
                </w:p>
              </w:tc>
              <w:tc>
                <w:tcPr>
                  <w:tcW w:w="1120" w:type="pct"/>
                  <w:vAlign w:val="center"/>
                </w:tcPr>
                <w:p>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环评阶段规模</w:t>
                  </w:r>
                </w:p>
              </w:tc>
              <w:tc>
                <w:tcPr>
                  <w:tcW w:w="1250" w:type="pct"/>
                  <w:vAlign w:val="center"/>
                </w:tcPr>
                <w:p>
                  <w:pP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验收阶段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pct"/>
                  <w:vAlign w:val="center"/>
                </w:tcPr>
                <w:p>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w:t>
                  </w:r>
                </w:p>
              </w:tc>
              <w:tc>
                <w:tcPr>
                  <w:tcW w:w="1380" w:type="pct"/>
                  <w:vAlign w:val="center"/>
                </w:tcPr>
                <w:p>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复合免拆保温模板</w:t>
                  </w:r>
                </w:p>
              </w:tc>
              <w:tc>
                <w:tcPr>
                  <w:tcW w:w="1120" w:type="pct"/>
                  <w:vAlign w:val="center"/>
                </w:tcPr>
                <w:p>
                  <w:pPr>
                    <w:bidi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60万</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2</w:t>
                  </w:r>
                </w:p>
              </w:tc>
              <w:tc>
                <w:tcPr>
                  <w:tcW w:w="1250" w:type="pct"/>
                  <w:vAlign w:val="center"/>
                </w:tcPr>
                <w:p>
                  <w:pPr>
                    <w:bidi w:val="0"/>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lang w:val="en-US" w:eastAsia="zh-CN"/>
                    </w:rPr>
                    <w:t>100万</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pct"/>
                  <w:vAlign w:val="center"/>
                </w:tcPr>
                <w:p>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w:t>
                  </w:r>
                </w:p>
              </w:tc>
              <w:tc>
                <w:tcPr>
                  <w:tcW w:w="1380" w:type="pct"/>
                  <w:vAlign w:val="center"/>
                </w:tcPr>
                <w:p>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叠合楼板</w:t>
                  </w:r>
                </w:p>
              </w:tc>
              <w:tc>
                <w:tcPr>
                  <w:tcW w:w="1120" w:type="pct"/>
                  <w:vAlign w:val="center"/>
                </w:tcPr>
                <w:p>
                  <w:pPr>
                    <w:bidi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40万</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2</w:t>
                  </w:r>
                </w:p>
              </w:tc>
              <w:tc>
                <w:tcPr>
                  <w:tcW w:w="1250" w:type="pct"/>
                  <w:vAlign w:val="center"/>
                </w:tcPr>
                <w:p>
                  <w:pPr>
                    <w:bidi w:val="0"/>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lang w:val="en-US" w:eastAsia="zh-CN"/>
                    </w:rPr>
                    <w:t>100万</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pct"/>
                  <w:vAlign w:val="center"/>
                </w:tcPr>
                <w:p>
                  <w:pPr>
                    <w:bidi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w:t>
                  </w:r>
                </w:p>
              </w:tc>
              <w:tc>
                <w:tcPr>
                  <w:tcW w:w="1380" w:type="pct"/>
                  <w:vAlign w:val="center"/>
                </w:tcPr>
                <w:p>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PC构件</w:t>
                  </w:r>
                </w:p>
              </w:tc>
              <w:tc>
                <w:tcPr>
                  <w:tcW w:w="1120" w:type="pct"/>
                  <w:vAlign w:val="center"/>
                </w:tcPr>
                <w:p>
                  <w:pPr>
                    <w:bidi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3.5万t/a</w:t>
                  </w:r>
                </w:p>
              </w:tc>
              <w:tc>
                <w:tcPr>
                  <w:tcW w:w="1250" w:type="pct"/>
                  <w:vAlign w:val="center"/>
                </w:tcPr>
                <w:p>
                  <w:pPr>
                    <w:bidi w:val="0"/>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lang w:val="en-US" w:eastAsia="zh-CN"/>
                    </w:rPr>
                    <w:t>5万m</w:t>
                  </w:r>
                  <w:r>
                    <w:rPr>
                      <w:rFonts w:hint="eastAsia" w:ascii="Times New Roman" w:hAnsi="Times New Roman" w:eastAsia="宋体" w:cs="Times New Roman"/>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pct"/>
                  <w:vAlign w:val="center"/>
                </w:tcPr>
                <w:p>
                  <w:pPr>
                    <w:bidi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w:t>
                  </w:r>
                </w:p>
              </w:tc>
              <w:tc>
                <w:tcPr>
                  <w:tcW w:w="1380" w:type="pct"/>
                  <w:vAlign w:val="center"/>
                </w:tcPr>
                <w:p>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商品混凝土</w:t>
                  </w:r>
                </w:p>
              </w:tc>
              <w:tc>
                <w:tcPr>
                  <w:tcW w:w="1120" w:type="pct"/>
                  <w:vAlign w:val="center"/>
                </w:tcPr>
                <w:p>
                  <w:pPr>
                    <w:bidi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5万m</w:t>
                  </w:r>
                  <w:r>
                    <w:rPr>
                      <w:rFonts w:hint="eastAsia" w:ascii="Times New Roman" w:hAnsi="Times New Roman" w:eastAsia="宋体" w:cs="Times New Roman"/>
                      <w:vertAlign w:val="superscript"/>
                      <w:lang w:val="en-US" w:eastAsia="zh-CN"/>
                    </w:rPr>
                    <w:t>3</w:t>
                  </w:r>
                </w:p>
              </w:tc>
              <w:tc>
                <w:tcPr>
                  <w:tcW w:w="1250" w:type="pct"/>
                  <w:vAlign w:val="center"/>
                </w:tcPr>
                <w:p>
                  <w:pPr>
                    <w:bidi w:val="0"/>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lang w:val="en-US" w:eastAsia="zh-CN"/>
                    </w:rPr>
                    <w:t>95万m</w:t>
                  </w:r>
                  <w:r>
                    <w:rPr>
                      <w:rFonts w:hint="eastAsia" w:ascii="Times New Roman" w:hAnsi="Times New Roman" w:eastAsia="宋体" w:cs="Times New Roman"/>
                      <w:vertAlign w:val="superscript"/>
                      <w:lang w:val="en-US" w:eastAsia="zh-CN"/>
                    </w:rPr>
                    <w:t>3</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3.3主要生产设备</w:t>
            </w:r>
          </w:p>
          <w:p>
            <w:pPr>
              <w:pStyle w:val="2"/>
              <w:keepNext/>
              <w:keepLines/>
              <w:pageBreakBefore w:val="0"/>
              <w:widowControl w:val="0"/>
              <w:kinsoku/>
              <w:wordWrap/>
              <w:overflowPunct/>
              <w:topLinePunct w:val="0"/>
              <w:autoSpaceDE/>
              <w:autoSpaceDN/>
              <w:bidi w:val="0"/>
              <w:adjustRightInd w:val="0"/>
              <w:snapToGrid/>
              <w:spacing w:before="0" w:after="0" w:line="360" w:lineRule="auto"/>
              <w:ind w:firstLine="480" w:firstLineChars="200"/>
              <w:textAlignment w:val="baseline"/>
              <w:rPr>
                <w:rFonts w:hint="default" w:ascii="Times New Roman" w:hAnsi="Times New Roman" w:eastAsia="宋体" w:cs="Times New Roman"/>
                <w:b w:val="0"/>
                <w:kern w:val="0"/>
                <w:sz w:val="24"/>
                <w:szCs w:val="24"/>
                <w:shd w:val="clear"/>
                <w:lang w:val="en-US" w:eastAsia="zh-CN" w:bidi="ar-SA"/>
              </w:rPr>
            </w:pPr>
            <w:r>
              <w:rPr>
                <w:rFonts w:hint="default" w:ascii="Times New Roman" w:hAnsi="Times New Roman" w:eastAsia="宋体" w:cs="Times New Roman"/>
                <w:b w:val="0"/>
                <w:kern w:val="0"/>
                <w:sz w:val="24"/>
                <w:szCs w:val="24"/>
                <w:shd w:val="clear"/>
                <w:lang w:val="en-US" w:eastAsia="zh-CN" w:bidi="ar-SA"/>
              </w:rPr>
              <w:t>主要设备清单及型号见表3.3-1。</w:t>
            </w:r>
          </w:p>
          <w:p>
            <w:pPr>
              <w:widowControl/>
              <w:jc w:val="center"/>
              <w:rPr>
                <w:rFonts w:hint="default" w:ascii="Times New Roman" w:hAnsi="Times New Roman" w:eastAsia="宋体" w:cs="Times New Roman"/>
                <w:b/>
                <w:bCs/>
                <w:kern w:val="0"/>
                <w:szCs w:val="21"/>
                <w:lang w:val="en-US" w:eastAsia="zh-CN"/>
              </w:rPr>
            </w:pPr>
            <w:r>
              <w:rPr>
                <w:rFonts w:hint="default" w:ascii="Times New Roman" w:hAnsi="Times New Roman" w:eastAsia="宋体" w:cs="Times New Roman"/>
                <w:b/>
                <w:bCs/>
                <w:kern w:val="0"/>
                <w:szCs w:val="21"/>
                <w:lang w:val="en-US" w:eastAsia="zh-CN"/>
              </w:rPr>
              <w:t>表3.3-1主要项目设备一览表</w:t>
            </w:r>
          </w:p>
          <w:tbl>
            <w:tblPr>
              <w:tblStyle w:val="23"/>
              <w:tblpPr w:leftFromText="180" w:rightFromText="180" w:vertAnchor="text" w:horzAnchor="page" w:tblpXSpec="center" w:tblpY="100"/>
              <w:tblOverlap w:val="never"/>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92"/>
              <w:gridCol w:w="2188"/>
              <w:gridCol w:w="1824"/>
              <w:gridCol w:w="1872"/>
              <w:gridCol w:w="2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4" w:hRule="atLeast"/>
                <w:jc w:val="center"/>
              </w:trPr>
              <w:tc>
                <w:tcPr>
                  <w:tcW w:w="499" w:type="pct"/>
                  <w:shd w:val="clear" w:color="auto" w:fill="auto"/>
                  <w:vAlign w:val="center"/>
                </w:tcPr>
                <w:p>
                  <w:pPr>
                    <w:pStyle w:val="31"/>
                    <w:bidi w:val="0"/>
                    <w:rPr>
                      <w:rFonts w:hint="default"/>
                      <w:lang w:val="en-US" w:eastAsia="zh-CN"/>
                    </w:rPr>
                  </w:pPr>
                  <w:r>
                    <w:rPr>
                      <w:rFonts w:hint="default"/>
                      <w:lang w:val="en-US" w:eastAsia="zh-CN"/>
                    </w:rPr>
                    <w:t>序号</w:t>
                  </w:r>
                </w:p>
              </w:tc>
              <w:tc>
                <w:tcPr>
                  <w:tcW w:w="1224" w:type="pct"/>
                  <w:shd w:val="clear" w:color="auto" w:fill="auto"/>
                  <w:vAlign w:val="center"/>
                </w:tcPr>
                <w:p>
                  <w:pPr>
                    <w:pStyle w:val="31"/>
                    <w:bidi w:val="0"/>
                    <w:rPr>
                      <w:rFonts w:hint="default"/>
                      <w:lang w:val="en-US" w:eastAsia="zh-CN"/>
                    </w:rPr>
                  </w:pPr>
                  <w:r>
                    <w:rPr>
                      <w:rFonts w:hint="default"/>
                      <w:lang w:val="en-US" w:eastAsia="zh-CN"/>
                    </w:rPr>
                    <w:t>设备名称</w:t>
                  </w:r>
                </w:p>
              </w:tc>
              <w:tc>
                <w:tcPr>
                  <w:tcW w:w="1021" w:type="pct"/>
                  <w:shd w:val="clear" w:color="auto" w:fill="auto"/>
                  <w:vAlign w:val="center"/>
                </w:tcPr>
                <w:p>
                  <w:pPr>
                    <w:pStyle w:val="31"/>
                    <w:bidi w:val="0"/>
                    <w:rPr>
                      <w:rFonts w:hint="default"/>
                      <w:lang w:val="en-US" w:eastAsia="zh-CN"/>
                    </w:rPr>
                  </w:pPr>
                  <w:r>
                    <w:rPr>
                      <w:rFonts w:hint="default"/>
                      <w:lang w:val="en-US" w:eastAsia="zh-CN"/>
                    </w:rPr>
                    <w:t>型号及规格</w:t>
                  </w:r>
                </w:p>
              </w:tc>
              <w:tc>
                <w:tcPr>
                  <w:tcW w:w="1047" w:type="pct"/>
                  <w:shd w:val="clear" w:color="auto" w:fill="auto"/>
                  <w:vAlign w:val="center"/>
                </w:tcPr>
                <w:p>
                  <w:pPr>
                    <w:pStyle w:val="31"/>
                    <w:bidi w:val="0"/>
                    <w:rPr>
                      <w:rFonts w:hint="default"/>
                      <w:lang w:val="en-US" w:eastAsia="zh-CN"/>
                    </w:rPr>
                  </w:pPr>
                  <w:r>
                    <w:rPr>
                      <w:rFonts w:hint="default"/>
                      <w:lang w:val="en-US" w:eastAsia="zh-CN"/>
                    </w:rPr>
                    <w:t>数量</w:t>
                  </w:r>
                </w:p>
              </w:tc>
              <w:tc>
                <w:tcPr>
                  <w:tcW w:w="1206" w:type="pct"/>
                  <w:shd w:val="clear" w:color="auto" w:fill="auto"/>
                  <w:vAlign w:val="center"/>
                </w:tcPr>
                <w:p>
                  <w:pPr>
                    <w:pStyle w:val="31"/>
                    <w:bidi w:val="0"/>
                    <w:rPr>
                      <w:rFonts w:hint="default"/>
                      <w:lang w:val="en-US" w:eastAsia="zh-CN"/>
                    </w:rPr>
                  </w:pPr>
                  <w:r>
                    <w:rPr>
                      <w:rFonts w:hint="default"/>
                      <w:lang w:val="en-US" w:eastAsia="zh-CN"/>
                    </w:rPr>
                    <w:t>验收阶段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99" w:type="pct"/>
                  <w:shd w:val="clear" w:color="auto" w:fill="auto"/>
                  <w:vAlign w:val="center"/>
                </w:tcPr>
                <w:p>
                  <w:pPr>
                    <w:pStyle w:val="31"/>
                    <w:bidi w:val="0"/>
                    <w:rPr>
                      <w:rFonts w:hint="default"/>
                      <w:lang w:val="en-US" w:eastAsia="zh-CN"/>
                    </w:rPr>
                  </w:pPr>
                  <w:r>
                    <w:rPr>
                      <w:rFonts w:hint="default"/>
                      <w:lang w:val="en-US" w:eastAsia="zh-CN"/>
                    </w:rPr>
                    <w:t>一</w:t>
                  </w:r>
                </w:p>
              </w:tc>
              <w:tc>
                <w:tcPr>
                  <w:tcW w:w="4500" w:type="pct"/>
                  <w:gridSpan w:val="4"/>
                  <w:shd w:val="clear" w:color="auto" w:fill="auto"/>
                  <w:vAlign w:val="center"/>
                </w:tcPr>
                <w:p>
                  <w:pPr>
                    <w:pStyle w:val="31"/>
                    <w:bidi w:val="0"/>
                    <w:rPr>
                      <w:rFonts w:hint="default"/>
                      <w:lang w:val="en-US" w:eastAsia="zh-CN"/>
                    </w:rPr>
                  </w:pPr>
                  <w:r>
                    <w:rPr>
                      <w:rFonts w:hint="default"/>
                      <w:lang w:val="en-US" w:eastAsia="zh-CN"/>
                    </w:rPr>
                    <w:t>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99" w:type="pct"/>
                  <w:shd w:val="clear" w:color="auto" w:fill="auto"/>
                  <w:vAlign w:val="center"/>
                </w:tcPr>
                <w:p>
                  <w:pPr>
                    <w:pStyle w:val="31"/>
                    <w:bidi w:val="0"/>
                    <w:rPr>
                      <w:rFonts w:hint="default"/>
                      <w:lang w:val="en-US" w:eastAsia="zh-CN"/>
                    </w:rPr>
                  </w:pPr>
                  <w:r>
                    <w:rPr>
                      <w:rFonts w:hint="default"/>
                      <w:lang w:val="en-US" w:eastAsia="zh-CN"/>
                    </w:rPr>
                    <w:t>1</w:t>
                  </w:r>
                </w:p>
              </w:tc>
              <w:tc>
                <w:tcPr>
                  <w:tcW w:w="1224" w:type="pct"/>
                  <w:shd w:val="clear" w:color="auto" w:fill="auto"/>
                  <w:vAlign w:val="center"/>
                </w:tcPr>
                <w:p>
                  <w:pPr>
                    <w:pStyle w:val="31"/>
                    <w:bidi w:val="0"/>
                    <w:rPr>
                      <w:rFonts w:hint="default"/>
                      <w:lang w:val="en-US" w:eastAsia="zh-CN"/>
                    </w:rPr>
                  </w:pPr>
                  <w:r>
                    <w:t>36.3米生产线（每节3.3米×11节）</w:t>
                  </w:r>
                </w:p>
              </w:tc>
              <w:tc>
                <w:tcPr>
                  <w:tcW w:w="1021" w:type="pct"/>
                  <w:shd w:val="clear" w:color="auto" w:fill="auto"/>
                  <w:vAlign w:val="center"/>
                </w:tcPr>
                <w:p>
                  <w:pPr>
                    <w:pStyle w:val="31"/>
                    <w:bidi w:val="0"/>
                    <w:rPr>
                      <w:rFonts w:hint="default"/>
                      <w:lang w:val="en-US" w:eastAsia="zh-CN"/>
                    </w:rPr>
                  </w:pPr>
                  <w:r>
                    <w:t>HSSJ-A型</w:t>
                  </w:r>
                </w:p>
              </w:tc>
              <w:tc>
                <w:tcPr>
                  <w:tcW w:w="1047" w:type="pct"/>
                  <w:shd w:val="clear" w:color="auto" w:fill="auto"/>
                  <w:vAlign w:val="center"/>
                </w:tcPr>
                <w:p>
                  <w:pPr>
                    <w:pStyle w:val="31"/>
                    <w:bidi w:val="0"/>
                    <w:rPr>
                      <w:rFonts w:hint="default"/>
                      <w:lang w:val="en-US" w:eastAsia="zh-CN"/>
                    </w:rPr>
                  </w:pPr>
                  <w:r>
                    <w:t>1</w:t>
                  </w:r>
                  <w:r>
                    <w:rPr>
                      <w:rFonts w:hint="eastAsia"/>
                      <w:lang w:val="en-US" w:eastAsia="zh-CN"/>
                    </w:rPr>
                    <w:t>台（套）</w:t>
                  </w:r>
                </w:p>
              </w:tc>
              <w:tc>
                <w:tcPr>
                  <w:tcW w:w="1206" w:type="pct"/>
                  <w:shd w:val="clear" w:color="auto" w:fill="auto"/>
                  <w:vAlign w:val="center"/>
                </w:tcPr>
                <w:p>
                  <w:pPr>
                    <w:pStyle w:val="31"/>
                    <w:bidi w:val="0"/>
                    <w:rPr>
                      <w:rFonts w:hint="default"/>
                      <w:lang w:val="en-US" w:eastAsia="zh-CN"/>
                    </w:rPr>
                  </w:pPr>
                  <w:r>
                    <w:t>1</w:t>
                  </w:r>
                  <w:r>
                    <w:rPr>
                      <w:rFonts w:hint="eastAsia"/>
                      <w:lang w:val="en-US" w:eastAsia="zh-CN"/>
                    </w:rPr>
                    <w:t>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99" w:type="pct"/>
                  <w:shd w:val="clear" w:color="auto" w:fill="auto"/>
                  <w:vAlign w:val="center"/>
                </w:tcPr>
                <w:p>
                  <w:pPr>
                    <w:pStyle w:val="31"/>
                    <w:bidi w:val="0"/>
                    <w:rPr>
                      <w:rFonts w:hint="default"/>
                      <w:lang w:val="en-US" w:eastAsia="zh-CN"/>
                    </w:rPr>
                  </w:pPr>
                  <w:r>
                    <w:rPr>
                      <w:rFonts w:hint="default"/>
                      <w:lang w:val="en-US" w:eastAsia="zh-CN"/>
                    </w:rPr>
                    <w:t>2</w:t>
                  </w:r>
                </w:p>
              </w:tc>
              <w:tc>
                <w:tcPr>
                  <w:tcW w:w="1224" w:type="pct"/>
                  <w:shd w:val="clear" w:color="auto" w:fill="auto"/>
                  <w:vAlign w:val="center"/>
                </w:tcPr>
                <w:p>
                  <w:pPr>
                    <w:pStyle w:val="31"/>
                    <w:bidi w:val="0"/>
                    <w:rPr>
                      <w:rFonts w:hint="default"/>
                      <w:lang w:val="en-US" w:eastAsia="zh-CN"/>
                    </w:rPr>
                  </w:pPr>
                  <w:r>
                    <w:t>43.9米生产线（每节3.3米×13节）</w:t>
                  </w:r>
                </w:p>
              </w:tc>
              <w:tc>
                <w:tcPr>
                  <w:tcW w:w="1021" w:type="pct"/>
                  <w:shd w:val="clear" w:color="auto" w:fill="auto"/>
                  <w:vAlign w:val="center"/>
                </w:tcPr>
                <w:p>
                  <w:pPr>
                    <w:pStyle w:val="31"/>
                    <w:bidi w:val="0"/>
                    <w:rPr>
                      <w:rFonts w:hint="default"/>
                      <w:lang w:val="en-US" w:eastAsia="zh-CN"/>
                    </w:rPr>
                  </w:pPr>
                  <w:r>
                    <w:t>HSSJ-B型</w:t>
                  </w:r>
                </w:p>
              </w:tc>
              <w:tc>
                <w:tcPr>
                  <w:tcW w:w="1047" w:type="pct"/>
                  <w:shd w:val="clear" w:color="auto" w:fill="auto"/>
                  <w:vAlign w:val="center"/>
                </w:tcPr>
                <w:p>
                  <w:pPr>
                    <w:pStyle w:val="31"/>
                    <w:bidi w:val="0"/>
                    <w:rPr>
                      <w:rFonts w:hint="default"/>
                      <w:lang w:val="en-US" w:eastAsia="zh-CN"/>
                    </w:rPr>
                  </w:pPr>
                  <w:r>
                    <w:t>1</w:t>
                  </w:r>
                  <w:r>
                    <w:rPr>
                      <w:rFonts w:hint="eastAsia"/>
                      <w:lang w:val="en-US" w:eastAsia="zh-CN"/>
                    </w:rPr>
                    <w:t>台（套）</w:t>
                  </w:r>
                </w:p>
              </w:tc>
              <w:tc>
                <w:tcPr>
                  <w:tcW w:w="1206" w:type="pct"/>
                  <w:shd w:val="clear" w:color="auto" w:fill="auto"/>
                  <w:vAlign w:val="center"/>
                </w:tcPr>
                <w:p>
                  <w:pPr>
                    <w:pStyle w:val="31"/>
                    <w:bidi w:val="0"/>
                    <w:rPr>
                      <w:rFonts w:hint="default"/>
                      <w:lang w:val="en-US" w:eastAsia="zh-CN"/>
                    </w:rPr>
                  </w:pPr>
                  <w:r>
                    <w:t>1</w:t>
                  </w:r>
                  <w:r>
                    <w:rPr>
                      <w:rFonts w:hint="eastAsia"/>
                      <w:lang w:val="en-US" w:eastAsia="zh-CN"/>
                    </w:rPr>
                    <w:t>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4" w:hRule="atLeast"/>
                <w:jc w:val="center"/>
              </w:trPr>
              <w:tc>
                <w:tcPr>
                  <w:tcW w:w="499" w:type="pct"/>
                  <w:shd w:val="clear" w:color="auto" w:fill="auto"/>
                  <w:vAlign w:val="center"/>
                </w:tcPr>
                <w:p>
                  <w:pPr>
                    <w:pStyle w:val="31"/>
                    <w:bidi w:val="0"/>
                    <w:rPr>
                      <w:rFonts w:hint="default"/>
                      <w:lang w:val="en-US" w:eastAsia="zh-CN"/>
                    </w:rPr>
                  </w:pPr>
                  <w:r>
                    <w:rPr>
                      <w:rFonts w:hint="default"/>
                      <w:lang w:val="en-US" w:eastAsia="zh-CN"/>
                    </w:rPr>
                    <w:t>3</w:t>
                  </w:r>
                </w:p>
              </w:tc>
              <w:tc>
                <w:tcPr>
                  <w:tcW w:w="1224" w:type="pct"/>
                  <w:shd w:val="clear" w:color="auto" w:fill="auto"/>
                  <w:vAlign w:val="center"/>
                </w:tcPr>
                <w:p>
                  <w:pPr>
                    <w:pStyle w:val="31"/>
                    <w:bidi w:val="0"/>
                    <w:rPr>
                      <w:rFonts w:hint="default"/>
                      <w:lang w:val="en-US" w:eastAsia="zh-CN"/>
                    </w:rPr>
                  </w:pPr>
                  <w:r>
                    <w:t>双驱动液压码垛机</w:t>
                  </w:r>
                </w:p>
              </w:tc>
              <w:tc>
                <w:tcPr>
                  <w:tcW w:w="1021" w:type="pct"/>
                  <w:shd w:val="clear" w:color="auto" w:fill="auto"/>
                  <w:vAlign w:val="center"/>
                </w:tcPr>
                <w:p>
                  <w:pPr>
                    <w:pStyle w:val="31"/>
                    <w:bidi w:val="0"/>
                    <w:rPr>
                      <w:rFonts w:hint="default"/>
                      <w:lang w:val="en-US" w:eastAsia="zh-CN"/>
                    </w:rPr>
                  </w:pPr>
                  <w:r>
                    <w:t>HSYMD-I型</w:t>
                  </w:r>
                </w:p>
              </w:tc>
              <w:tc>
                <w:tcPr>
                  <w:tcW w:w="1047" w:type="pct"/>
                  <w:shd w:val="clear" w:color="auto" w:fill="auto"/>
                  <w:vAlign w:val="center"/>
                </w:tcPr>
                <w:p>
                  <w:pPr>
                    <w:pStyle w:val="31"/>
                    <w:bidi w:val="0"/>
                    <w:rPr>
                      <w:rFonts w:hint="default"/>
                      <w:lang w:val="en-US" w:eastAsia="zh-CN"/>
                    </w:rPr>
                  </w:pPr>
                  <w:r>
                    <w:t>2</w:t>
                  </w:r>
                  <w:r>
                    <w:rPr>
                      <w:rFonts w:hint="eastAsia"/>
                      <w:lang w:val="en-US" w:eastAsia="zh-CN"/>
                    </w:rPr>
                    <w:t>台（套）</w:t>
                  </w:r>
                </w:p>
              </w:tc>
              <w:tc>
                <w:tcPr>
                  <w:tcW w:w="1206" w:type="pct"/>
                  <w:shd w:val="clear" w:color="auto" w:fill="auto"/>
                  <w:vAlign w:val="center"/>
                </w:tcPr>
                <w:p>
                  <w:pPr>
                    <w:pStyle w:val="31"/>
                    <w:bidi w:val="0"/>
                    <w:rPr>
                      <w:rFonts w:hint="default"/>
                      <w:lang w:val="en-US" w:eastAsia="zh-CN"/>
                    </w:rPr>
                  </w:pPr>
                  <w:r>
                    <w:t>2</w:t>
                  </w:r>
                  <w:r>
                    <w:rPr>
                      <w:rFonts w:hint="eastAsia"/>
                      <w:lang w:val="en-US" w:eastAsia="zh-CN"/>
                    </w:rPr>
                    <w:t>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4" w:hRule="atLeast"/>
                <w:jc w:val="center"/>
              </w:trPr>
              <w:tc>
                <w:tcPr>
                  <w:tcW w:w="499" w:type="pct"/>
                  <w:shd w:val="clear" w:color="auto" w:fill="auto"/>
                  <w:vAlign w:val="center"/>
                </w:tcPr>
                <w:p>
                  <w:pPr>
                    <w:pStyle w:val="31"/>
                    <w:bidi w:val="0"/>
                    <w:rPr>
                      <w:rFonts w:hint="default"/>
                      <w:lang w:val="en-US" w:eastAsia="zh-CN"/>
                    </w:rPr>
                  </w:pPr>
                  <w:r>
                    <w:rPr>
                      <w:rFonts w:hint="default"/>
                      <w:lang w:val="en-US" w:eastAsia="zh-CN"/>
                    </w:rPr>
                    <w:t>4</w:t>
                  </w:r>
                </w:p>
              </w:tc>
              <w:tc>
                <w:tcPr>
                  <w:tcW w:w="1224" w:type="pct"/>
                  <w:shd w:val="clear" w:color="auto" w:fill="auto"/>
                  <w:vAlign w:val="center"/>
                </w:tcPr>
                <w:p>
                  <w:pPr>
                    <w:pStyle w:val="31"/>
                    <w:bidi w:val="0"/>
                    <w:rPr>
                      <w:rFonts w:hint="default"/>
                      <w:lang w:val="en-US" w:eastAsia="zh-CN"/>
                    </w:rPr>
                  </w:pPr>
                  <w:r>
                    <w:t>立式搅拌机</w:t>
                  </w:r>
                </w:p>
              </w:tc>
              <w:tc>
                <w:tcPr>
                  <w:tcW w:w="1021" w:type="pct"/>
                  <w:shd w:val="clear" w:color="auto" w:fill="auto"/>
                  <w:vAlign w:val="center"/>
                </w:tcPr>
                <w:p>
                  <w:pPr>
                    <w:pStyle w:val="31"/>
                    <w:bidi w:val="0"/>
                    <w:rPr>
                      <w:rFonts w:hint="default"/>
                      <w:lang w:val="en-US" w:eastAsia="zh-CN"/>
                    </w:rPr>
                  </w:pPr>
                  <w:r>
                    <w:t>HSLJB型</w:t>
                  </w:r>
                </w:p>
              </w:tc>
              <w:tc>
                <w:tcPr>
                  <w:tcW w:w="1047" w:type="pct"/>
                  <w:shd w:val="clear" w:color="auto" w:fill="auto"/>
                  <w:vAlign w:val="center"/>
                </w:tcPr>
                <w:p>
                  <w:pPr>
                    <w:pStyle w:val="31"/>
                    <w:bidi w:val="0"/>
                    <w:rPr>
                      <w:rFonts w:hint="default"/>
                      <w:lang w:val="en-US" w:eastAsia="zh-CN"/>
                    </w:rPr>
                  </w:pPr>
                  <w:r>
                    <w:t>6</w:t>
                  </w:r>
                  <w:r>
                    <w:rPr>
                      <w:rFonts w:hint="eastAsia"/>
                      <w:lang w:val="en-US" w:eastAsia="zh-CN"/>
                    </w:rPr>
                    <w:t>台（套）</w:t>
                  </w:r>
                </w:p>
              </w:tc>
              <w:tc>
                <w:tcPr>
                  <w:tcW w:w="1206" w:type="pct"/>
                  <w:shd w:val="clear" w:color="auto" w:fill="auto"/>
                  <w:vAlign w:val="center"/>
                </w:tcPr>
                <w:p>
                  <w:pPr>
                    <w:pStyle w:val="31"/>
                    <w:bidi w:val="0"/>
                    <w:rPr>
                      <w:rFonts w:hint="default"/>
                      <w:lang w:val="en-US" w:eastAsia="zh-CN"/>
                    </w:rPr>
                  </w:pPr>
                  <w:r>
                    <w:t>6</w:t>
                  </w:r>
                  <w:r>
                    <w:rPr>
                      <w:rFonts w:hint="eastAsia"/>
                      <w:lang w:val="en-US" w:eastAsia="zh-CN"/>
                    </w:rPr>
                    <w:t>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4" w:hRule="atLeast"/>
                <w:jc w:val="center"/>
              </w:trPr>
              <w:tc>
                <w:tcPr>
                  <w:tcW w:w="499" w:type="pct"/>
                  <w:shd w:val="clear" w:color="auto" w:fill="auto"/>
                  <w:vAlign w:val="center"/>
                </w:tcPr>
                <w:p>
                  <w:pPr>
                    <w:pStyle w:val="31"/>
                    <w:bidi w:val="0"/>
                    <w:rPr>
                      <w:rFonts w:hint="default"/>
                      <w:lang w:val="en-US" w:eastAsia="zh-CN"/>
                    </w:rPr>
                  </w:pPr>
                  <w:r>
                    <w:rPr>
                      <w:rFonts w:hint="default"/>
                      <w:lang w:val="en-US" w:eastAsia="zh-CN"/>
                    </w:rPr>
                    <w:t>5</w:t>
                  </w:r>
                </w:p>
              </w:tc>
              <w:tc>
                <w:tcPr>
                  <w:tcW w:w="1224" w:type="pct"/>
                  <w:shd w:val="clear" w:color="auto" w:fill="auto"/>
                  <w:vAlign w:val="center"/>
                </w:tcPr>
                <w:p>
                  <w:pPr>
                    <w:pStyle w:val="31"/>
                    <w:bidi w:val="0"/>
                    <w:rPr>
                      <w:rFonts w:hint="default"/>
                      <w:lang w:val="en-US" w:eastAsia="zh-CN"/>
                    </w:rPr>
                  </w:pPr>
                  <w:r>
                    <w:t>1.5立方卧式搅拌机（湿混）</w:t>
                  </w:r>
                </w:p>
              </w:tc>
              <w:tc>
                <w:tcPr>
                  <w:tcW w:w="1021" w:type="pct"/>
                  <w:shd w:val="clear" w:color="auto" w:fill="auto"/>
                  <w:vAlign w:val="center"/>
                </w:tcPr>
                <w:p>
                  <w:pPr>
                    <w:pStyle w:val="31"/>
                    <w:bidi w:val="0"/>
                    <w:rPr>
                      <w:rFonts w:hint="default"/>
                      <w:lang w:val="en-US" w:eastAsia="zh-CN"/>
                    </w:rPr>
                  </w:pPr>
                  <w:r>
                    <w:t>HSSJB-I型</w:t>
                  </w:r>
                </w:p>
              </w:tc>
              <w:tc>
                <w:tcPr>
                  <w:tcW w:w="1047" w:type="pct"/>
                  <w:shd w:val="clear" w:color="auto" w:fill="auto"/>
                  <w:vAlign w:val="center"/>
                </w:tcPr>
                <w:p>
                  <w:pPr>
                    <w:pStyle w:val="31"/>
                    <w:bidi w:val="0"/>
                    <w:rPr>
                      <w:rFonts w:hint="default"/>
                      <w:lang w:val="en-US" w:eastAsia="zh-CN"/>
                    </w:rPr>
                  </w:pPr>
                  <w:r>
                    <w:t>2</w:t>
                  </w:r>
                  <w:r>
                    <w:rPr>
                      <w:rFonts w:hint="eastAsia"/>
                      <w:lang w:val="en-US" w:eastAsia="zh-CN"/>
                    </w:rPr>
                    <w:t>台（套）</w:t>
                  </w:r>
                </w:p>
              </w:tc>
              <w:tc>
                <w:tcPr>
                  <w:tcW w:w="1206" w:type="pct"/>
                  <w:shd w:val="clear" w:color="auto" w:fill="auto"/>
                  <w:vAlign w:val="center"/>
                </w:tcPr>
                <w:p>
                  <w:pPr>
                    <w:pStyle w:val="31"/>
                    <w:bidi w:val="0"/>
                    <w:rPr>
                      <w:rFonts w:hint="default"/>
                      <w:lang w:val="en-US" w:eastAsia="zh-CN"/>
                    </w:rPr>
                  </w:pPr>
                  <w:r>
                    <w:t>2</w:t>
                  </w:r>
                  <w:r>
                    <w:rPr>
                      <w:rFonts w:hint="eastAsia"/>
                      <w:lang w:val="en-US" w:eastAsia="zh-CN"/>
                    </w:rPr>
                    <w:t>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99" w:type="pct"/>
                  <w:shd w:val="clear" w:color="auto" w:fill="auto"/>
                  <w:vAlign w:val="center"/>
                </w:tcPr>
                <w:p>
                  <w:pPr>
                    <w:pStyle w:val="31"/>
                    <w:bidi w:val="0"/>
                    <w:rPr>
                      <w:rFonts w:hint="default"/>
                      <w:lang w:val="en-US" w:eastAsia="zh-CN"/>
                    </w:rPr>
                  </w:pPr>
                  <w:r>
                    <w:rPr>
                      <w:rFonts w:hint="eastAsia"/>
                      <w:lang w:val="en-US" w:eastAsia="zh-CN"/>
                    </w:rPr>
                    <w:t>6</w:t>
                  </w:r>
                </w:p>
              </w:tc>
              <w:tc>
                <w:tcPr>
                  <w:tcW w:w="1224" w:type="pct"/>
                  <w:shd w:val="clear" w:color="auto" w:fill="auto"/>
                  <w:vAlign w:val="center"/>
                </w:tcPr>
                <w:p>
                  <w:pPr>
                    <w:pStyle w:val="31"/>
                    <w:bidi w:val="0"/>
                    <w:rPr>
                      <w:rFonts w:hint="default"/>
                      <w:lang w:val="en-US" w:eastAsia="zh-CN"/>
                    </w:rPr>
                  </w:pPr>
                  <w:r>
                    <w:t>干混砂浆搅拌机2t</w:t>
                  </w:r>
                </w:p>
              </w:tc>
              <w:tc>
                <w:tcPr>
                  <w:tcW w:w="1021" w:type="pct"/>
                  <w:shd w:val="clear" w:color="auto" w:fill="auto"/>
                  <w:vAlign w:val="center"/>
                </w:tcPr>
                <w:p>
                  <w:pPr>
                    <w:pStyle w:val="31"/>
                    <w:bidi w:val="0"/>
                    <w:rPr>
                      <w:rFonts w:hint="default"/>
                      <w:lang w:val="en-US" w:eastAsia="zh-CN"/>
                    </w:rPr>
                  </w:pPr>
                  <w:r>
                    <w:t>HSGJB型</w:t>
                  </w:r>
                </w:p>
              </w:tc>
              <w:tc>
                <w:tcPr>
                  <w:tcW w:w="1047" w:type="pct"/>
                  <w:shd w:val="clear" w:color="auto" w:fill="auto"/>
                  <w:vAlign w:val="center"/>
                </w:tcPr>
                <w:p>
                  <w:pPr>
                    <w:pStyle w:val="31"/>
                    <w:bidi w:val="0"/>
                    <w:rPr>
                      <w:rFonts w:hint="default"/>
                      <w:lang w:val="en-US" w:eastAsia="zh-CN"/>
                    </w:rPr>
                  </w:pPr>
                  <w:r>
                    <w:t>1</w:t>
                  </w:r>
                  <w:r>
                    <w:rPr>
                      <w:rFonts w:hint="eastAsia"/>
                      <w:lang w:val="en-US" w:eastAsia="zh-CN"/>
                    </w:rPr>
                    <w:t>台（套）</w:t>
                  </w:r>
                </w:p>
              </w:tc>
              <w:tc>
                <w:tcPr>
                  <w:tcW w:w="1206" w:type="pct"/>
                  <w:shd w:val="clear" w:color="auto" w:fill="auto"/>
                  <w:vAlign w:val="center"/>
                </w:tcPr>
                <w:p>
                  <w:pPr>
                    <w:pStyle w:val="31"/>
                    <w:bidi w:val="0"/>
                    <w:rPr>
                      <w:rFonts w:hint="default"/>
                      <w:lang w:val="en-US" w:eastAsia="zh-CN"/>
                    </w:rPr>
                  </w:pPr>
                  <w:r>
                    <w:t>1</w:t>
                  </w:r>
                  <w:r>
                    <w:rPr>
                      <w:rFonts w:hint="eastAsia"/>
                      <w:lang w:val="en-US" w:eastAsia="zh-CN"/>
                    </w:rPr>
                    <w:t>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4" w:hRule="atLeast"/>
                <w:jc w:val="center"/>
              </w:trPr>
              <w:tc>
                <w:tcPr>
                  <w:tcW w:w="499" w:type="pct"/>
                  <w:shd w:val="clear" w:color="auto" w:fill="auto"/>
                  <w:vAlign w:val="center"/>
                </w:tcPr>
                <w:p>
                  <w:pPr>
                    <w:pStyle w:val="31"/>
                    <w:bidi w:val="0"/>
                    <w:rPr>
                      <w:rFonts w:hint="default"/>
                      <w:lang w:val="en-US" w:eastAsia="zh-CN"/>
                    </w:rPr>
                  </w:pPr>
                  <w:r>
                    <w:rPr>
                      <w:rFonts w:hint="eastAsia"/>
                      <w:lang w:val="en-US" w:eastAsia="zh-CN"/>
                    </w:rPr>
                    <w:t>7</w:t>
                  </w:r>
                </w:p>
              </w:tc>
              <w:tc>
                <w:tcPr>
                  <w:tcW w:w="1224" w:type="pct"/>
                  <w:shd w:val="clear" w:color="auto" w:fill="auto"/>
                  <w:vAlign w:val="center"/>
                </w:tcPr>
                <w:p>
                  <w:pPr>
                    <w:pStyle w:val="31"/>
                    <w:bidi w:val="0"/>
                    <w:rPr>
                      <w:rFonts w:hint="default"/>
                      <w:lang w:val="en-US" w:eastAsia="zh-CN"/>
                    </w:rPr>
                  </w:pPr>
                  <w:r>
                    <w:t>提升器</w:t>
                  </w:r>
                </w:p>
              </w:tc>
              <w:tc>
                <w:tcPr>
                  <w:tcW w:w="1021" w:type="pct"/>
                  <w:shd w:val="clear" w:color="auto" w:fill="auto"/>
                  <w:vAlign w:val="center"/>
                </w:tcPr>
                <w:p>
                  <w:pPr>
                    <w:pStyle w:val="31"/>
                    <w:bidi w:val="0"/>
                    <w:rPr>
                      <w:rFonts w:hint="default"/>
                      <w:lang w:val="en-US" w:eastAsia="zh-CN"/>
                    </w:rPr>
                  </w:pPr>
                  <w:r>
                    <w:t>HSTS型</w:t>
                  </w:r>
                </w:p>
              </w:tc>
              <w:tc>
                <w:tcPr>
                  <w:tcW w:w="1047" w:type="pct"/>
                  <w:shd w:val="clear" w:color="auto" w:fill="auto"/>
                  <w:vAlign w:val="center"/>
                </w:tcPr>
                <w:p>
                  <w:pPr>
                    <w:pStyle w:val="31"/>
                    <w:bidi w:val="0"/>
                    <w:rPr>
                      <w:rFonts w:hint="default"/>
                      <w:lang w:val="en-US" w:eastAsia="zh-CN"/>
                    </w:rPr>
                  </w:pPr>
                  <w:r>
                    <w:t>12</w:t>
                  </w:r>
                  <w:r>
                    <w:rPr>
                      <w:rFonts w:hint="eastAsia"/>
                      <w:lang w:val="en-US" w:eastAsia="zh-CN"/>
                    </w:rPr>
                    <w:t>台（套）</w:t>
                  </w:r>
                </w:p>
              </w:tc>
              <w:tc>
                <w:tcPr>
                  <w:tcW w:w="1206" w:type="pct"/>
                  <w:shd w:val="clear" w:color="auto" w:fill="auto"/>
                  <w:vAlign w:val="center"/>
                </w:tcPr>
                <w:p>
                  <w:pPr>
                    <w:pStyle w:val="31"/>
                    <w:bidi w:val="0"/>
                    <w:rPr>
                      <w:rFonts w:hint="default"/>
                      <w:lang w:val="en-US" w:eastAsia="zh-CN"/>
                    </w:rPr>
                  </w:pPr>
                  <w:r>
                    <w:t>12</w:t>
                  </w:r>
                  <w:r>
                    <w:rPr>
                      <w:rFonts w:hint="eastAsia"/>
                      <w:lang w:val="en-US" w:eastAsia="zh-CN"/>
                    </w:rPr>
                    <w:t>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99" w:type="pct"/>
                  <w:shd w:val="clear" w:color="auto" w:fill="auto"/>
                  <w:vAlign w:val="center"/>
                </w:tcPr>
                <w:p>
                  <w:pPr>
                    <w:pStyle w:val="31"/>
                    <w:bidi w:val="0"/>
                    <w:rPr>
                      <w:rFonts w:hint="default"/>
                      <w:lang w:val="en-US" w:eastAsia="zh-CN"/>
                    </w:rPr>
                  </w:pPr>
                  <w:r>
                    <w:rPr>
                      <w:rFonts w:hint="eastAsia"/>
                      <w:lang w:val="en-US" w:eastAsia="zh-CN"/>
                    </w:rPr>
                    <w:t>8</w:t>
                  </w:r>
                </w:p>
              </w:tc>
              <w:tc>
                <w:tcPr>
                  <w:tcW w:w="1224" w:type="pct"/>
                  <w:shd w:val="clear" w:color="auto" w:fill="auto"/>
                  <w:vAlign w:val="center"/>
                </w:tcPr>
                <w:p>
                  <w:pPr>
                    <w:pStyle w:val="31"/>
                    <w:bidi w:val="0"/>
                    <w:rPr>
                      <w:rFonts w:hint="default"/>
                      <w:lang w:val="en-US" w:eastAsia="zh-CN"/>
                    </w:rPr>
                  </w:pPr>
                  <w:r>
                    <w:t>60t储料仓（</w:t>
                  </w:r>
                  <w:r>
                    <w:rPr>
                      <w:rFonts w:hint="eastAsia"/>
                    </w:rPr>
                    <w:t>沙子、石子储存）</w:t>
                  </w:r>
                </w:p>
              </w:tc>
              <w:tc>
                <w:tcPr>
                  <w:tcW w:w="1021" w:type="pct"/>
                  <w:shd w:val="clear" w:color="auto" w:fill="auto"/>
                  <w:vAlign w:val="center"/>
                </w:tcPr>
                <w:p>
                  <w:pPr>
                    <w:pStyle w:val="31"/>
                    <w:bidi w:val="0"/>
                    <w:rPr>
                      <w:rFonts w:hint="default"/>
                      <w:lang w:val="en-US" w:eastAsia="zh-CN"/>
                    </w:rPr>
                  </w:pPr>
                  <w:r>
                    <w:t>3m</w:t>
                  </w:r>
                  <w:r>
                    <w:rPr>
                      <w:rFonts w:hint="eastAsia"/>
                    </w:rPr>
                    <w:t>×</w:t>
                  </w:r>
                  <w:r>
                    <w:t>6m</w:t>
                  </w:r>
                  <w:r>
                    <w:rPr>
                      <w:rFonts w:hint="eastAsia"/>
                    </w:rPr>
                    <w:t>×</w:t>
                  </w:r>
                  <w:r>
                    <w:t>2.5m</w:t>
                  </w:r>
                </w:p>
              </w:tc>
              <w:tc>
                <w:tcPr>
                  <w:tcW w:w="1047" w:type="pct"/>
                  <w:shd w:val="clear" w:color="auto" w:fill="auto"/>
                  <w:vAlign w:val="center"/>
                </w:tcPr>
                <w:p>
                  <w:pPr>
                    <w:pStyle w:val="31"/>
                    <w:bidi w:val="0"/>
                    <w:rPr>
                      <w:rFonts w:hint="default"/>
                      <w:lang w:val="en-US" w:eastAsia="zh-CN"/>
                    </w:rPr>
                  </w:pPr>
                  <w:r>
                    <w:t>3</w:t>
                  </w:r>
                  <w:r>
                    <w:rPr>
                      <w:rFonts w:hint="eastAsia"/>
                      <w:lang w:val="en-US" w:eastAsia="zh-CN"/>
                    </w:rPr>
                    <w:t>台（套）</w:t>
                  </w:r>
                </w:p>
              </w:tc>
              <w:tc>
                <w:tcPr>
                  <w:tcW w:w="1206" w:type="pct"/>
                  <w:shd w:val="clear" w:color="auto" w:fill="auto"/>
                  <w:vAlign w:val="center"/>
                </w:tcPr>
                <w:p>
                  <w:pPr>
                    <w:pStyle w:val="31"/>
                    <w:bidi w:val="0"/>
                    <w:rPr>
                      <w:rFonts w:hint="default"/>
                      <w:lang w:val="en-US" w:eastAsia="zh-CN"/>
                    </w:rPr>
                  </w:pPr>
                  <w:r>
                    <w:t>3</w:t>
                  </w:r>
                  <w:r>
                    <w:rPr>
                      <w:rFonts w:hint="eastAsia"/>
                      <w:lang w:val="en-US" w:eastAsia="zh-CN"/>
                    </w:rPr>
                    <w:t>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4" w:hRule="atLeast"/>
                <w:jc w:val="center"/>
              </w:trPr>
              <w:tc>
                <w:tcPr>
                  <w:tcW w:w="499" w:type="pct"/>
                  <w:shd w:val="clear" w:color="auto" w:fill="auto"/>
                  <w:vAlign w:val="center"/>
                </w:tcPr>
                <w:p>
                  <w:pPr>
                    <w:pStyle w:val="31"/>
                    <w:bidi w:val="0"/>
                    <w:rPr>
                      <w:rFonts w:hint="default"/>
                      <w:lang w:val="en-US" w:eastAsia="zh-CN"/>
                    </w:rPr>
                  </w:pPr>
                  <w:r>
                    <w:rPr>
                      <w:rFonts w:hint="eastAsia"/>
                      <w:lang w:val="en-US" w:eastAsia="zh-CN"/>
                    </w:rPr>
                    <w:t>9</w:t>
                  </w:r>
                </w:p>
              </w:tc>
              <w:tc>
                <w:tcPr>
                  <w:tcW w:w="1224" w:type="pct"/>
                  <w:shd w:val="clear" w:color="auto" w:fill="auto"/>
                  <w:vAlign w:val="center"/>
                </w:tcPr>
                <w:p>
                  <w:pPr>
                    <w:pStyle w:val="31"/>
                    <w:bidi w:val="0"/>
                    <w:rPr>
                      <w:rFonts w:hint="default"/>
                      <w:lang w:val="en-US" w:eastAsia="zh-CN"/>
                    </w:rPr>
                  </w:pPr>
                  <w:r>
                    <w:rPr>
                      <w:rFonts w:hint="eastAsia"/>
                      <w:lang w:val="en-US" w:eastAsia="zh-CN"/>
                    </w:rPr>
                    <w:t>3#粉煤灰罐</w:t>
                  </w:r>
                  <w:r>
                    <w:rPr>
                      <w:rFonts w:hint="eastAsia"/>
                    </w:rPr>
                    <w:t>、</w:t>
                  </w:r>
                  <w:r>
                    <w:rPr>
                      <w:rFonts w:hint="eastAsia"/>
                      <w:lang w:val="en-US" w:eastAsia="zh-CN"/>
                    </w:rPr>
                    <w:t>4#矿粉罐</w:t>
                  </w:r>
                </w:p>
              </w:tc>
              <w:tc>
                <w:tcPr>
                  <w:tcW w:w="1021" w:type="pct"/>
                  <w:shd w:val="clear" w:color="auto" w:fill="auto"/>
                  <w:vAlign w:val="center"/>
                </w:tcPr>
                <w:p>
                  <w:pPr>
                    <w:pStyle w:val="31"/>
                    <w:bidi w:val="0"/>
                    <w:rPr>
                      <w:rFonts w:hint="default"/>
                      <w:lang w:val="en-US" w:eastAsia="zh-CN"/>
                    </w:rPr>
                  </w:pPr>
                  <w:r>
                    <w:t>3m</w:t>
                  </w:r>
                  <w:r>
                    <w:rPr>
                      <w:rFonts w:hint="eastAsia"/>
                    </w:rPr>
                    <w:t>×</w:t>
                  </w:r>
                  <w:r>
                    <w:rPr>
                      <w:rFonts w:hint="eastAsia"/>
                      <w:lang w:val="en-US" w:eastAsia="zh-CN"/>
                    </w:rPr>
                    <w:t>9</w:t>
                  </w:r>
                  <w:r>
                    <w:t>m</w:t>
                  </w:r>
                  <w:r>
                    <w:rPr>
                      <w:rFonts w:hint="eastAsia"/>
                    </w:rPr>
                    <w:t>×</w:t>
                  </w:r>
                  <w:r>
                    <w:t>2.5m</w:t>
                  </w:r>
                </w:p>
              </w:tc>
              <w:tc>
                <w:tcPr>
                  <w:tcW w:w="1047" w:type="pct"/>
                  <w:shd w:val="clear" w:color="auto" w:fill="auto"/>
                  <w:vAlign w:val="center"/>
                </w:tcPr>
                <w:p>
                  <w:pPr>
                    <w:pStyle w:val="31"/>
                    <w:bidi w:val="0"/>
                    <w:rPr>
                      <w:rFonts w:hint="default"/>
                      <w:lang w:val="en-US" w:eastAsia="zh-CN"/>
                    </w:rPr>
                  </w:pPr>
                  <w:r>
                    <w:rPr>
                      <w:rFonts w:hint="eastAsia"/>
                      <w:lang w:val="en-US" w:eastAsia="zh-CN"/>
                    </w:rPr>
                    <w:t>2台（套）</w:t>
                  </w:r>
                </w:p>
              </w:tc>
              <w:tc>
                <w:tcPr>
                  <w:tcW w:w="1206" w:type="pct"/>
                  <w:shd w:val="clear" w:color="auto" w:fill="auto"/>
                  <w:vAlign w:val="center"/>
                </w:tcPr>
                <w:p>
                  <w:pPr>
                    <w:pStyle w:val="31"/>
                    <w:bidi w:val="0"/>
                    <w:rPr>
                      <w:rFonts w:hint="default"/>
                      <w:lang w:val="en-US" w:eastAsia="zh-CN"/>
                    </w:rPr>
                  </w:pPr>
                  <w:r>
                    <w:rPr>
                      <w:rFonts w:hint="eastAsia"/>
                      <w:lang w:val="en-US" w:eastAsia="zh-CN"/>
                    </w:rPr>
                    <w:t>2台（套）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84" w:hRule="atLeast"/>
                <w:jc w:val="center"/>
              </w:trPr>
              <w:tc>
                <w:tcPr>
                  <w:tcW w:w="499" w:type="pct"/>
                  <w:shd w:val="clear" w:color="auto" w:fill="auto"/>
                  <w:vAlign w:val="center"/>
                </w:tcPr>
                <w:p>
                  <w:pPr>
                    <w:pStyle w:val="31"/>
                    <w:bidi w:val="0"/>
                    <w:rPr>
                      <w:rFonts w:hint="default"/>
                      <w:lang w:val="en-US" w:eastAsia="zh-CN"/>
                    </w:rPr>
                  </w:pPr>
                  <w:r>
                    <w:rPr>
                      <w:rFonts w:hint="eastAsia"/>
                      <w:lang w:val="en-US" w:eastAsia="zh-CN"/>
                    </w:rPr>
                    <w:t>10</w:t>
                  </w:r>
                </w:p>
              </w:tc>
              <w:tc>
                <w:tcPr>
                  <w:tcW w:w="1224" w:type="pct"/>
                  <w:shd w:val="clear" w:color="auto" w:fill="auto"/>
                  <w:vAlign w:val="center"/>
                </w:tcPr>
                <w:p>
                  <w:pPr>
                    <w:pStyle w:val="31"/>
                    <w:bidi w:val="0"/>
                    <w:rPr>
                      <w:rFonts w:hint="default"/>
                      <w:lang w:val="en-US" w:eastAsia="zh-CN"/>
                    </w:rPr>
                  </w:pPr>
                  <w:r>
                    <w:rPr>
                      <w:rFonts w:hint="eastAsia"/>
                      <w:lang w:val="en-US" w:eastAsia="zh-CN"/>
                    </w:rPr>
                    <w:t>1#水泥罐（300t）、2#水泥罐（300t）</w:t>
                  </w:r>
                </w:p>
              </w:tc>
              <w:tc>
                <w:tcPr>
                  <w:tcW w:w="1021" w:type="pct"/>
                  <w:shd w:val="clear" w:color="auto" w:fill="auto"/>
                  <w:vAlign w:val="center"/>
                </w:tcPr>
                <w:p>
                  <w:pPr>
                    <w:pStyle w:val="31"/>
                    <w:bidi w:val="0"/>
                    <w:rPr>
                      <w:rFonts w:hint="default"/>
                      <w:lang w:val="en-US" w:eastAsia="zh-CN"/>
                    </w:rPr>
                  </w:pPr>
                  <w:r>
                    <w:t>3m</w:t>
                  </w:r>
                  <w:r>
                    <w:rPr>
                      <w:rFonts w:hint="eastAsia"/>
                    </w:rPr>
                    <w:t>×</w:t>
                  </w:r>
                  <w:r>
                    <w:rPr>
                      <w:rFonts w:hint="eastAsia"/>
                      <w:lang w:val="en-US" w:eastAsia="zh-CN"/>
                    </w:rPr>
                    <w:t>9</w:t>
                  </w:r>
                  <w:r>
                    <w:t>m</w:t>
                  </w:r>
                  <w:r>
                    <w:rPr>
                      <w:rFonts w:hint="eastAsia"/>
                    </w:rPr>
                    <w:t>×</w:t>
                  </w:r>
                  <w:r>
                    <w:t>2.5m</w:t>
                  </w:r>
                </w:p>
              </w:tc>
              <w:tc>
                <w:tcPr>
                  <w:tcW w:w="1047" w:type="pct"/>
                  <w:shd w:val="clear" w:color="auto" w:fill="auto"/>
                  <w:vAlign w:val="center"/>
                </w:tcPr>
                <w:p>
                  <w:pPr>
                    <w:pStyle w:val="31"/>
                    <w:bidi w:val="0"/>
                    <w:rPr>
                      <w:rFonts w:hint="default"/>
                      <w:lang w:val="en-US" w:eastAsia="zh-CN"/>
                    </w:rPr>
                  </w:pPr>
                  <w:r>
                    <w:rPr>
                      <w:rFonts w:hint="eastAsia"/>
                      <w:lang w:val="en-US" w:eastAsia="zh-CN"/>
                    </w:rPr>
                    <w:t>2台（套）</w:t>
                  </w:r>
                </w:p>
              </w:tc>
              <w:tc>
                <w:tcPr>
                  <w:tcW w:w="1206" w:type="pct"/>
                  <w:shd w:val="clear" w:color="auto" w:fill="auto"/>
                  <w:vAlign w:val="center"/>
                </w:tcPr>
                <w:p>
                  <w:pPr>
                    <w:pStyle w:val="31"/>
                    <w:bidi w:val="0"/>
                    <w:rPr>
                      <w:rFonts w:hint="default"/>
                      <w:lang w:val="en-US" w:eastAsia="zh-CN"/>
                    </w:rPr>
                  </w:pPr>
                  <w:r>
                    <w:rPr>
                      <w:rFonts w:hint="eastAsia"/>
                      <w:lang w:val="en-US" w:eastAsia="zh-CN"/>
                    </w:rPr>
                    <w:t>2台（套）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4" w:hRule="atLeast"/>
                <w:jc w:val="center"/>
              </w:trPr>
              <w:tc>
                <w:tcPr>
                  <w:tcW w:w="499" w:type="pct"/>
                  <w:shd w:val="clear" w:color="auto" w:fill="auto"/>
                  <w:vAlign w:val="center"/>
                </w:tcPr>
                <w:p>
                  <w:pPr>
                    <w:pStyle w:val="31"/>
                    <w:bidi w:val="0"/>
                    <w:rPr>
                      <w:rFonts w:hint="default"/>
                      <w:lang w:val="en-US" w:eastAsia="zh-CN"/>
                    </w:rPr>
                  </w:pPr>
                  <w:r>
                    <w:rPr>
                      <w:rFonts w:hint="eastAsia"/>
                      <w:lang w:val="en-US" w:eastAsia="zh-CN"/>
                    </w:rPr>
                    <w:t>11</w:t>
                  </w:r>
                </w:p>
              </w:tc>
              <w:tc>
                <w:tcPr>
                  <w:tcW w:w="1224" w:type="pct"/>
                  <w:shd w:val="clear" w:color="auto" w:fill="auto"/>
                  <w:vAlign w:val="center"/>
                </w:tcPr>
                <w:p>
                  <w:pPr>
                    <w:pStyle w:val="31"/>
                    <w:bidi w:val="0"/>
                    <w:rPr>
                      <w:rFonts w:hint="default"/>
                      <w:lang w:val="en-US" w:eastAsia="zh-CN"/>
                    </w:rPr>
                  </w:pPr>
                  <w:r>
                    <w:t>粉料称重系统（其中一台带搅拌功能）</w:t>
                  </w:r>
                </w:p>
              </w:tc>
              <w:tc>
                <w:tcPr>
                  <w:tcW w:w="1021" w:type="pct"/>
                  <w:shd w:val="clear" w:color="auto" w:fill="auto"/>
                  <w:vAlign w:val="center"/>
                </w:tcPr>
                <w:p>
                  <w:pPr>
                    <w:pStyle w:val="31"/>
                    <w:bidi w:val="0"/>
                    <w:rPr>
                      <w:rFonts w:hint="default"/>
                      <w:lang w:val="en-US" w:eastAsia="zh-CN"/>
                    </w:rPr>
                  </w:pPr>
                  <w:r>
                    <w:t>/</w:t>
                  </w:r>
                </w:p>
              </w:tc>
              <w:tc>
                <w:tcPr>
                  <w:tcW w:w="1047" w:type="pct"/>
                  <w:shd w:val="clear" w:color="auto" w:fill="auto"/>
                  <w:vAlign w:val="center"/>
                </w:tcPr>
                <w:p>
                  <w:pPr>
                    <w:pStyle w:val="31"/>
                    <w:bidi w:val="0"/>
                    <w:rPr>
                      <w:rFonts w:hint="default"/>
                      <w:lang w:val="en-US" w:eastAsia="zh-CN"/>
                    </w:rPr>
                  </w:pPr>
                  <w:r>
                    <w:t>1</w:t>
                  </w:r>
                  <w:r>
                    <w:rPr>
                      <w:rFonts w:hint="eastAsia"/>
                      <w:lang w:val="en-US" w:eastAsia="zh-CN"/>
                    </w:rPr>
                    <w:t>台（套）</w:t>
                  </w:r>
                </w:p>
              </w:tc>
              <w:tc>
                <w:tcPr>
                  <w:tcW w:w="1206" w:type="pct"/>
                  <w:shd w:val="clear" w:color="auto" w:fill="auto"/>
                  <w:vAlign w:val="center"/>
                </w:tcPr>
                <w:p>
                  <w:pPr>
                    <w:pStyle w:val="31"/>
                    <w:bidi w:val="0"/>
                    <w:rPr>
                      <w:rFonts w:hint="default"/>
                      <w:lang w:val="en-US" w:eastAsia="zh-CN"/>
                    </w:rPr>
                  </w:pPr>
                  <w:r>
                    <w:t>1</w:t>
                  </w:r>
                  <w:r>
                    <w:rPr>
                      <w:rFonts w:hint="eastAsia"/>
                      <w:lang w:val="en-US" w:eastAsia="zh-CN"/>
                    </w:rPr>
                    <w:t>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99" w:type="pct"/>
                  <w:shd w:val="clear" w:color="auto" w:fill="auto"/>
                  <w:vAlign w:val="center"/>
                </w:tcPr>
                <w:p>
                  <w:pPr>
                    <w:pStyle w:val="31"/>
                    <w:bidi w:val="0"/>
                    <w:rPr>
                      <w:rFonts w:hint="default"/>
                      <w:lang w:val="en-US" w:eastAsia="zh-CN"/>
                    </w:rPr>
                  </w:pPr>
                  <w:r>
                    <w:rPr>
                      <w:rFonts w:hint="eastAsia"/>
                      <w:lang w:val="en-US" w:eastAsia="zh-CN"/>
                    </w:rPr>
                    <w:t>12</w:t>
                  </w:r>
                </w:p>
              </w:tc>
              <w:tc>
                <w:tcPr>
                  <w:tcW w:w="1224" w:type="pct"/>
                  <w:shd w:val="clear" w:color="auto" w:fill="auto"/>
                  <w:vAlign w:val="center"/>
                </w:tcPr>
                <w:p>
                  <w:pPr>
                    <w:pStyle w:val="31"/>
                    <w:bidi w:val="0"/>
                    <w:rPr>
                      <w:rFonts w:hint="default"/>
                      <w:lang w:val="en-US" w:eastAsia="zh-CN"/>
                    </w:rPr>
                  </w:pPr>
                  <w:r>
                    <w:t>单驱动液压拆垛机</w:t>
                  </w:r>
                </w:p>
              </w:tc>
              <w:tc>
                <w:tcPr>
                  <w:tcW w:w="1021" w:type="pct"/>
                  <w:shd w:val="clear" w:color="auto" w:fill="auto"/>
                  <w:vAlign w:val="center"/>
                </w:tcPr>
                <w:p>
                  <w:pPr>
                    <w:pStyle w:val="31"/>
                    <w:bidi w:val="0"/>
                    <w:rPr>
                      <w:rFonts w:hint="default"/>
                      <w:lang w:val="en-US" w:eastAsia="zh-CN"/>
                    </w:rPr>
                  </w:pPr>
                  <w:r>
                    <w:t>HSSJB-</w:t>
                  </w:r>
                  <w:r>
                    <w:rPr>
                      <w:rFonts w:hint="eastAsia"/>
                      <w:lang w:eastAsia="zh-CN"/>
                    </w:rPr>
                    <w:t>Ⅱ型</w:t>
                  </w:r>
                </w:p>
              </w:tc>
              <w:tc>
                <w:tcPr>
                  <w:tcW w:w="1047" w:type="pct"/>
                  <w:shd w:val="clear" w:color="auto" w:fill="auto"/>
                  <w:vAlign w:val="center"/>
                </w:tcPr>
                <w:p>
                  <w:pPr>
                    <w:pStyle w:val="31"/>
                    <w:bidi w:val="0"/>
                    <w:rPr>
                      <w:rFonts w:hint="default"/>
                      <w:lang w:val="en-US" w:eastAsia="zh-CN"/>
                    </w:rPr>
                  </w:pPr>
                  <w:r>
                    <w:t>2</w:t>
                  </w:r>
                  <w:r>
                    <w:rPr>
                      <w:rFonts w:hint="eastAsia"/>
                      <w:lang w:val="en-US" w:eastAsia="zh-CN"/>
                    </w:rPr>
                    <w:t>台（套）</w:t>
                  </w:r>
                </w:p>
              </w:tc>
              <w:tc>
                <w:tcPr>
                  <w:tcW w:w="1206" w:type="pct"/>
                  <w:shd w:val="clear" w:color="auto" w:fill="auto"/>
                  <w:vAlign w:val="center"/>
                </w:tcPr>
                <w:p>
                  <w:pPr>
                    <w:pStyle w:val="31"/>
                    <w:bidi w:val="0"/>
                    <w:rPr>
                      <w:rFonts w:hint="default"/>
                      <w:lang w:val="en-US" w:eastAsia="zh-CN"/>
                    </w:rPr>
                  </w:pPr>
                  <w:r>
                    <w:t>2</w:t>
                  </w:r>
                  <w:r>
                    <w:rPr>
                      <w:rFonts w:hint="eastAsia"/>
                      <w:lang w:val="en-US" w:eastAsia="zh-CN"/>
                    </w:rPr>
                    <w:t>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99" w:type="pct"/>
                  <w:shd w:val="clear" w:color="auto" w:fill="auto"/>
                  <w:vAlign w:val="center"/>
                </w:tcPr>
                <w:p>
                  <w:pPr>
                    <w:pStyle w:val="31"/>
                    <w:bidi w:val="0"/>
                    <w:rPr>
                      <w:rFonts w:hint="default"/>
                      <w:lang w:val="en-US" w:eastAsia="zh-CN"/>
                    </w:rPr>
                  </w:pPr>
                  <w:r>
                    <w:rPr>
                      <w:rFonts w:hint="eastAsia"/>
                      <w:lang w:val="en-US" w:eastAsia="zh-CN"/>
                    </w:rPr>
                    <w:t>13</w:t>
                  </w:r>
                </w:p>
              </w:tc>
              <w:tc>
                <w:tcPr>
                  <w:tcW w:w="1224" w:type="pct"/>
                  <w:shd w:val="clear" w:color="auto" w:fill="auto"/>
                  <w:vAlign w:val="center"/>
                </w:tcPr>
                <w:p>
                  <w:pPr>
                    <w:pStyle w:val="31"/>
                    <w:bidi w:val="0"/>
                    <w:rPr>
                      <w:rFonts w:hint="default"/>
                      <w:lang w:val="en-US" w:eastAsia="zh-CN"/>
                    </w:rPr>
                  </w:pPr>
                  <w:r>
                    <w:t>全自动切割锯</w:t>
                  </w:r>
                </w:p>
              </w:tc>
              <w:tc>
                <w:tcPr>
                  <w:tcW w:w="1021" w:type="pct"/>
                  <w:shd w:val="clear" w:color="auto" w:fill="auto"/>
                  <w:vAlign w:val="center"/>
                </w:tcPr>
                <w:p>
                  <w:pPr>
                    <w:pStyle w:val="31"/>
                    <w:bidi w:val="0"/>
                    <w:rPr>
                      <w:rFonts w:hint="default"/>
                      <w:lang w:val="en-US" w:eastAsia="zh-CN"/>
                    </w:rPr>
                  </w:pPr>
                  <w:r>
                    <w:t>HSJG-A型</w:t>
                  </w:r>
                </w:p>
              </w:tc>
              <w:tc>
                <w:tcPr>
                  <w:tcW w:w="1047" w:type="pct"/>
                  <w:shd w:val="clear" w:color="auto" w:fill="auto"/>
                  <w:vAlign w:val="center"/>
                </w:tcPr>
                <w:p>
                  <w:pPr>
                    <w:pStyle w:val="31"/>
                    <w:bidi w:val="0"/>
                    <w:rPr>
                      <w:rFonts w:hint="default"/>
                      <w:lang w:val="en-US" w:eastAsia="zh-CN"/>
                    </w:rPr>
                  </w:pPr>
                  <w:r>
                    <w:t>1</w:t>
                  </w:r>
                  <w:r>
                    <w:rPr>
                      <w:rFonts w:hint="eastAsia"/>
                      <w:lang w:val="en-US" w:eastAsia="zh-CN"/>
                    </w:rPr>
                    <w:t>台（套）</w:t>
                  </w:r>
                </w:p>
              </w:tc>
              <w:tc>
                <w:tcPr>
                  <w:tcW w:w="1206" w:type="pct"/>
                  <w:shd w:val="clear" w:color="auto" w:fill="auto"/>
                  <w:vAlign w:val="center"/>
                </w:tcPr>
                <w:p>
                  <w:pPr>
                    <w:pStyle w:val="31"/>
                    <w:bidi w:val="0"/>
                    <w:rPr>
                      <w:rFonts w:hint="default"/>
                      <w:lang w:val="en-US" w:eastAsia="zh-CN"/>
                    </w:rPr>
                  </w:pPr>
                  <w:r>
                    <w:t>1</w:t>
                  </w:r>
                  <w:r>
                    <w:rPr>
                      <w:rFonts w:hint="eastAsia"/>
                      <w:lang w:val="en-US" w:eastAsia="zh-CN"/>
                    </w:rPr>
                    <w:t>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4" w:hRule="atLeast"/>
                <w:jc w:val="center"/>
              </w:trPr>
              <w:tc>
                <w:tcPr>
                  <w:tcW w:w="499" w:type="pct"/>
                  <w:shd w:val="clear" w:color="auto" w:fill="auto"/>
                  <w:vAlign w:val="center"/>
                </w:tcPr>
                <w:p>
                  <w:pPr>
                    <w:pStyle w:val="31"/>
                    <w:bidi w:val="0"/>
                    <w:rPr>
                      <w:rFonts w:hint="default"/>
                      <w:lang w:val="en-US" w:eastAsia="zh-CN"/>
                    </w:rPr>
                  </w:pPr>
                  <w:r>
                    <w:rPr>
                      <w:rFonts w:hint="eastAsia"/>
                      <w:lang w:val="en-US" w:eastAsia="zh-CN"/>
                    </w:rPr>
                    <w:t>14</w:t>
                  </w:r>
                </w:p>
              </w:tc>
              <w:tc>
                <w:tcPr>
                  <w:tcW w:w="1224" w:type="pct"/>
                  <w:shd w:val="clear" w:color="auto" w:fill="auto"/>
                  <w:vAlign w:val="center"/>
                </w:tcPr>
                <w:p>
                  <w:pPr>
                    <w:pStyle w:val="31"/>
                    <w:bidi w:val="0"/>
                    <w:rPr>
                      <w:rFonts w:hint="default"/>
                      <w:lang w:val="en-US" w:eastAsia="zh-CN"/>
                    </w:rPr>
                  </w:pPr>
                  <w:r>
                    <w:t>配电系统（包括电盘到设备的电缆）</w:t>
                  </w:r>
                </w:p>
              </w:tc>
              <w:tc>
                <w:tcPr>
                  <w:tcW w:w="1021" w:type="pct"/>
                  <w:shd w:val="clear" w:color="auto" w:fill="auto"/>
                  <w:vAlign w:val="center"/>
                </w:tcPr>
                <w:p>
                  <w:pPr>
                    <w:pStyle w:val="31"/>
                    <w:bidi w:val="0"/>
                    <w:rPr>
                      <w:rFonts w:hint="default"/>
                      <w:lang w:val="en-US" w:eastAsia="zh-CN"/>
                    </w:rPr>
                  </w:pPr>
                  <w:r>
                    <w:t>/</w:t>
                  </w:r>
                </w:p>
              </w:tc>
              <w:tc>
                <w:tcPr>
                  <w:tcW w:w="1047" w:type="pct"/>
                  <w:shd w:val="clear" w:color="auto" w:fill="auto"/>
                  <w:vAlign w:val="center"/>
                </w:tcPr>
                <w:p>
                  <w:pPr>
                    <w:pStyle w:val="31"/>
                    <w:bidi w:val="0"/>
                    <w:rPr>
                      <w:rFonts w:hint="default"/>
                      <w:lang w:val="en-US" w:eastAsia="zh-CN"/>
                    </w:rPr>
                  </w:pPr>
                  <w:r>
                    <w:t>8</w:t>
                  </w:r>
                  <w:r>
                    <w:rPr>
                      <w:rFonts w:hint="eastAsia"/>
                      <w:lang w:val="en-US" w:eastAsia="zh-CN"/>
                    </w:rPr>
                    <w:t>台（套）</w:t>
                  </w:r>
                </w:p>
              </w:tc>
              <w:tc>
                <w:tcPr>
                  <w:tcW w:w="1206" w:type="pct"/>
                  <w:shd w:val="clear" w:color="auto" w:fill="auto"/>
                  <w:vAlign w:val="center"/>
                </w:tcPr>
                <w:p>
                  <w:pPr>
                    <w:pStyle w:val="31"/>
                    <w:bidi w:val="0"/>
                    <w:rPr>
                      <w:rFonts w:hint="default"/>
                      <w:lang w:val="en-US" w:eastAsia="zh-CN"/>
                    </w:rPr>
                  </w:pPr>
                  <w:r>
                    <w:t>8</w:t>
                  </w:r>
                  <w:r>
                    <w:rPr>
                      <w:rFonts w:hint="eastAsia"/>
                      <w:lang w:val="en-US" w:eastAsia="zh-CN"/>
                    </w:rPr>
                    <w:t>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4" w:hRule="atLeast"/>
                <w:jc w:val="center"/>
              </w:trPr>
              <w:tc>
                <w:tcPr>
                  <w:tcW w:w="499" w:type="pct"/>
                  <w:shd w:val="clear" w:color="auto" w:fill="auto"/>
                  <w:vAlign w:val="center"/>
                </w:tcPr>
                <w:p>
                  <w:pPr>
                    <w:pStyle w:val="31"/>
                    <w:bidi w:val="0"/>
                    <w:rPr>
                      <w:rFonts w:hint="default"/>
                      <w:lang w:val="en-US" w:eastAsia="zh-CN"/>
                    </w:rPr>
                  </w:pPr>
                  <w:r>
                    <w:rPr>
                      <w:rFonts w:hint="eastAsia"/>
                      <w:lang w:val="en-US" w:eastAsia="zh-CN"/>
                    </w:rPr>
                    <w:t>15</w:t>
                  </w:r>
                </w:p>
              </w:tc>
              <w:tc>
                <w:tcPr>
                  <w:tcW w:w="1224" w:type="pct"/>
                  <w:shd w:val="clear" w:color="auto" w:fill="auto"/>
                  <w:vAlign w:val="center"/>
                </w:tcPr>
                <w:p>
                  <w:pPr>
                    <w:pStyle w:val="31"/>
                    <w:bidi w:val="0"/>
                    <w:rPr>
                      <w:rFonts w:hint="default"/>
                      <w:lang w:val="en-US" w:eastAsia="zh-CN"/>
                    </w:rPr>
                  </w:pPr>
                  <w:r>
                    <w:t>双提升机刮板</w:t>
                  </w:r>
                </w:p>
              </w:tc>
              <w:tc>
                <w:tcPr>
                  <w:tcW w:w="1021" w:type="pct"/>
                  <w:shd w:val="clear" w:color="auto" w:fill="auto"/>
                  <w:vAlign w:val="center"/>
                </w:tcPr>
                <w:p>
                  <w:pPr>
                    <w:pStyle w:val="31"/>
                    <w:bidi w:val="0"/>
                    <w:rPr>
                      <w:rFonts w:hint="default"/>
                      <w:lang w:val="en-US" w:eastAsia="zh-CN"/>
                    </w:rPr>
                  </w:pPr>
                  <w:r>
                    <w:t>/</w:t>
                  </w:r>
                </w:p>
              </w:tc>
              <w:tc>
                <w:tcPr>
                  <w:tcW w:w="1047" w:type="pct"/>
                  <w:shd w:val="clear" w:color="auto" w:fill="auto"/>
                  <w:vAlign w:val="center"/>
                </w:tcPr>
                <w:p>
                  <w:pPr>
                    <w:pStyle w:val="31"/>
                    <w:bidi w:val="0"/>
                    <w:rPr>
                      <w:rFonts w:hint="default"/>
                      <w:lang w:val="en-US" w:eastAsia="zh-CN"/>
                    </w:rPr>
                  </w:pPr>
                  <w:r>
                    <w:t>6</w:t>
                  </w:r>
                  <w:r>
                    <w:rPr>
                      <w:rFonts w:hint="eastAsia"/>
                      <w:lang w:val="en-US" w:eastAsia="zh-CN"/>
                    </w:rPr>
                    <w:t>台（套）</w:t>
                  </w:r>
                </w:p>
              </w:tc>
              <w:tc>
                <w:tcPr>
                  <w:tcW w:w="1206" w:type="pct"/>
                  <w:shd w:val="clear" w:color="auto" w:fill="auto"/>
                  <w:vAlign w:val="center"/>
                </w:tcPr>
                <w:p>
                  <w:pPr>
                    <w:pStyle w:val="31"/>
                    <w:bidi w:val="0"/>
                    <w:rPr>
                      <w:rFonts w:hint="default"/>
                      <w:lang w:val="en-US" w:eastAsia="zh-CN"/>
                    </w:rPr>
                  </w:pPr>
                  <w:r>
                    <w:t>6</w:t>
                  </w:r>
                  <w:r>
                    <w:rPr>
                      <w:rFonts w:hint="eastAsia"/>
                      <w:lang w:val="en-US" w:eastAsia="zh-CN"/>
                    </w:rPr>
                    <w:t>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4" w:hRule="atLeast"/>
                <w:jc w:val="center"/>
              </w:trPr>
              <w:tc>
                <w:tcPr>
                  <w:tcW w:w="499" w:type="pct"/>
                  <w:shd w:val="clear" w:color="auto" w:fill="auto"/>
                  <w:vAlign w:val="center"/>
                </w:tcPr>
                <w:p>
                  <w:pPr>
                    <w:pStyle w:val="31"/>
                    <w:bidi w:val="0"/>
                    <w:rPr>
                      <w:rFonts w:hint="default"/>
                      <w:lang w:val="en-US" w:eastAsia="zh-CN"/>
                    </w:rPr>
                  </w:pPr>
                  <w:r>
                    <w:rPr>
                      <w:rFonts w:hint="eastAsia"/>
                      <w:lang w:val="en-US" w:eastAsia="zh-CN"/>
                    </w:rPr>
                    <w:t>16</w:t>
                  </w:r>
                </w:p>
              </w:tc>
              <w:tc>
                <w:tcPr>
                  <w:tcW w:w="1224" w:type="pct"/>
                  <w:shd w:val="clear" w:color="auto" w:fill="auto"/>
                  <w:vAlign w:val="center"/>
                </w:tcPr>
                <w:p>
                  <w:pPr>
                    <w:pStyle w:val="31"/>
                    <w:bidi w:val="0"/>
                    <w:rPr>
                      <w:rFonts w:hint="default"/>
                      <w:lang w:val="en-US" w:eastAsia="zh-CN"/>
                    </w:rPr>
                  </w:pPr>
                  <w:r>
                    <w:t>网格布托架</w:t>
                  </w:r>
                </w:p>
              </w:tc>
              <w:tc>
                <w:tcPr>
                  <w:tcW w:w="1021" w:type="pct"/>
                  <w:shd w:val="clear" w:color="auto" w:fill="auto"/>
                  <w:vAlign w:val="center"/>
                </w:tcPr>
                <w:p>
                  <w:pPr>
                    <w:pStyle w:val="31"/>
                    <w:bidi w:val="0"/>
                    <w:rPr>
                      <w:rFonts w:hint="default"/>
                      <w:lang w:val="en-US" w:eastAsia="zh-CN"/>
                    </w:rPr>
                  </w:pPr>
                  <w:r>
                    <w:t>/</w:t>
                  </w:r>
                </w:p>
              </w:tc>
              <w:tc>
                <w:tcPr>
                  <w:tcW w:w="1047" w:type="pct"/>
                  <w:shd w:val="clear" w:color="auto" w:fill="auto"/>
                  <w:vAlign w:val="center"/>
                </w:tcPr>
                <w:p>
                  <w:pPr>
                    <w:pStyle w:val="31"/>
                    <w:bidi w:val="0"/>
                    <w:rPr>
                      <w:rFonts w:hint="default"/>
                      <w:lang w:val="en-US" w:eastAsia="zh-CN"/>
                    </w:rPr>
                  </w:pPr>
                  <w:r>
                    <w:t>4</w:t>
                  </w:r>
                  <w:r>
                    <w:rPr>
                      <w:rFonts w:hint="eastAsia"/>
                      <w:lang w:val="en-US" w:eastAsia="zh-CN"/>
                    </w:rPr>
                    <w:t>台（套）</w:t>
                  </w:r>
                </w:p>
              </w:tc>
              <w:tc>
                <w:tcPr>
                  <w:tcW w:w="1206" w:type="pct"/>
                  <w:shd w:val="clear" w:color="auto" w:fill="auto"/>
                  <w:vAlign w:val="center"/>
                </w:tcPr>
                <w:p>
                  <w:pPr>
                    <w:pStyle w:val="31"/>
                    <w:bidi w:val="0"/>
                    <w:rPr>
                      <w:rFonts w:hint="default"/>
                      <w:lang w:val="en-US" w:eastAsia="zh-CN"/>
                    </w:rPr>
                  </w:pPr>
                  <w:r>
                    <w:t>4</w:t>
                  </w:r>
                  <w:r>
                    <w:rPr>
                      <w:rFonts w:hint="eastAsia"/>
                      <w:lang w:val="en-US" w:eastAsia="zh-CN"/>
                    </w:rPr>
                    <w:t>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99" w:type="pct"/>
                  <w:shd w:val="clear" w:color="auto" w:fill="auto"/>
                  <w:vAlign w:val="center"/>
                </w:tcPr>
                <w:p>
                  <w:pPr>
                    <w:pStyle w:val="31"/>
                    <w:bidi w:val="0"/>
                    <w:rPr>
                      <w:rFonts w:hint="default"/>
                      <w:lang w:val="en-US" w:eastAsia="zh-CN"/>
                    </w:rPr>
                  </w:pPr>
                  <w:r>
                    <w:rPr>
                      <w:rFonts w:hint="eastAsia"/>
                      <w:lang w:val="en-US" w:eastAsia="zh-CN"/>
                    </w:rPr>
                    <w:t>17</w:t>
                  </w:r>
                </w:p>
              </w:tc>
              <w:tc>
                <w:tcPr>
                  <w:tcW w:w="1224" w:type="pct"/>
                  <w:shd w:val="clear" w:color="auto" w:fill="auto"/>
                  <w:vAlign w:val="center"/>
                </w:tcPr>
                <w:p>
                  <w:pPr>
                    <w:pStyle w:val="31"/>
                    <w:bidi w:val="0"/>
                    <w:rPr>
                      <w:rFonts w:hint="default"/>
                      <w:lang w:val="en-US" w:eastAsia="zh-CN"/>
                    </w:rPr>
                  </w:pPr>
                  <w:r>
                    <w:t>双驱动轻质保温压辊系统</w:t>
                  </w:r>
                </w:p>
              </w:tc>
              <w:tc>
                <w:tcPr>
                  <w:tcW w:w="1021" w:type="pct"/>
                  <w:shd w:val="clear" w:color="auto" w:fill="auto"/>
                  <w:vAlign w:val="center"/>
                </w:tcPr>
                <w:p>
                  <w:pPr>
                    <w:pStyle w:val="31"/>
                    <w:bidi w:val="0"/>
                    <w:rPr>
                      <w:rFonts w:hint="default"/>
                      <w:lang w:val="en-US" w:eastAsia="zh-CN"/>
                    </w:rPr>
                  </w:pPr>
                  <w:r>
                    <w:t>/</w:t>
                  </w:r>
                </w:p>
              </w:tc>
              <w:tc>
                <w:tcPr>
                  <w:tcW w:w="1047" w:type="pct"/>
                  <w:shd w:val="clear" w:color="auto" w:fill="auto"/>
                  <w:vAlign w:val="center"/>
                </w:tcPr>
                <w:p>
                  <w:pPr>
                    <w:pStyle w:val="31"/>
                    <w:bidi w:val="0"/>
                    <w:rPr>
                      <w:rFonts w:hint="default"/>
                      <w:lang w:val="en-US" w:eastAsia="zh-CN"/>
                    </w:rPr>
                  </w:pPr>
                  <w:r>
                    <w:t>4</w:t>
                  </w:r>
                  <w:r>
                    <w:rPr>
                      <w:rFonts w:hint="eastAsia"/>
                      <w:lang w:val="en-US" w:eastAsia="zh-CN"/>
                    </w:rPr>
                    <w:t>台（套）</w:t>
                  </w:r>
                </w:p>
              </w:tc>
              <w:tc>
                <w:tcPr>
                  <w:tcW w:w="1206" w:type="pct"/>
                  <w:shd w:val="clear" w:color="auto" w:fill="auto"/>
                  <w:vAlign w:val="center"/>
                </w:tcPr>
                <w:p>
                  <w:pPr>
                    <w:pStyle w:val="31"/>
                    <w:bidi w:val="0"/>
                    <w:rPr>
                      <w:rFonts w:hint="default"/>
                      <w:lang w:val="en-US" w:eastAsia="zh-CN"/>
                    </w:rPr>
                  </w:pPr>
                  <w:r>
                    <w:t>4</w:t>
                  </w:r>
                  <w:r>
                    <w:rPr>
                      <w:rFonts w:hint="eastAsia"/>
                      <w:lang w:val="en-US" w:eastAsia="zh-CN"/>
                    </w:rPr>
                    <w:t>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99" w:type="pct"/>
                  <w:shd w:val="clear" w:color="auto" w:fill="auto"/>
                  <w:vAlign w:val="center"/>
                </w:tcPr>
                <w:p>
                  <w:pPr>
                    <w:pStyle w:val="31"/>
                    <w:bidi w:val="0"/>
                    <w:rPr>
                      <w:rFonts w:hint="default"/>
                      <w:lang w:val="en-US" w:eastAsia="zh-CN"/>
                    </w:rPr>
                  </w:pPr>
                  <w:r>
                    <w:rPr>
                      <w:rFonts w:hint="eastAsia"/>
                      <w:lang w:val="en-US" w:eastAsia="zh-CN"/>
                    </w:rPr>
                    <w:t>18</w:t>
                  </w:r>
                </w:p>
              </w:tc>
              <w:tc>
                <w:tcPr>
                  <w:tcW w:w="1224" w:type="pct"/>
                  <w:shd w:val="clear" w:color="auto" w:fill="auto"/>
                  <w:vAlign w:val="center"/>
                </w:tcPr>
                <w:p>
                  <w:pPr>
                    <w:pStyle w:val="31"/>
                    <w:bidi w:val="0"/>
                  </w:pPr>
                  <w:r>
                    <w:t>自动翻转 自动进板</w:t>
                  </w:r>
                </w:p>
              </w:tc>
              <w:tc>
                <w:tcPr>
                  <w:tcW w:w="1021" w:type="pct"/>
                  <w:shd w:val="clear" w:color="auto" w:fill="auto"/>
                  <w:vAlign w:val="center"/>
                </w:tcPr>
                <w:p>
                  <w:pPr>
                    <w:pStyle w:val="31"/>
                    <w:bidi w:val="0"/>
                    <w:rPr>
                      <w:rFonts w:hint="default"/>
                      <w:lang w:val="en-US" w:eastAsia="zh-CN"/>
                    </w:rPr>
                  </w:pPr>
                  <w:r>
                    <w:t>HSFB-I型</w:t>
                  </w:r>
                </w:p>
              </w:tc>
              <w:tc>
                <w:tcPr>
                  <w:tcW w:w="1047" w:type="pct"/>
                  <w:shd w:val="clear" w:color="auto" w:fill="auto"/>
                  <w:vAlign w:val="center"/>
                </w:tcPr>
                <w:p>
                  <w:pPr>
                    <w:pStyle w:val="31"/>
                    <w:bidi w:val="0"/>
                    <w:rPr>
                      <w:rFonts w:hint="default"/>
                      <w:lang w:val="en-US" w:eastAsia="zh-CN"/>
                    </w:rPr>
                  </w:pPr>
                  <w:r>
                    <w:t>1</w:t>
                  </w:r>
                  <w:r>
                    <w:rPr>
                      <w:rFonts w:hint="eastAsia"/>
                      <w:lang w:val="en-US" w:eastAsia="zh-CN"/>
                    </w:rPr>
                    <w:t>台（套）</w:t>
                  </w:r>
                </w:p>
              </w:tc>
              <w:tc>
                <w:tcPr>
                  <w:tcW w:w="1206" w:type="pct"/>
                  <w:shd w:val="clear" w:color="auto" w:fill="auto"/>
                  <w:vAlign w:val="center"/>
                </w:tcPr>
                <w:p>
                  <w:pPr>
                    <w:pStyle w:val="31"/>
                    <w:bidi w:val="0"/>
                    <w:rPr>
                      <w:rFonts w:hint="default"/>
                      <w:lang w:val="en-US" w:eastAsia="zh-CN"/>
                    </w:rPr>
                  </w:pPr>
                  <w:r>
                    <w:t>1</w:t>
                  </w:r>
                  <w:r>
                    <w:rPr>
                      <w:rFonts w:hint="eastAsia"/>
                      <w:lang w:val="en-US" w:eastAsia="zh-CN"/>
                    </w:rPr>
                    <w:t>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4" w:hRule="atLeast"/>
                <w:jc w:val="center"/>
              </w:trPr>
              <w:tc>
                <w:tcPr>
                  <w:tcW w:w="499" w:type="pct"/>
                  <w:shd w:val="clear" w:color="auto" w:fill="auto"/>
                  <w:vAlign w:val="center"/>
                </w:tcPr>
                <w:p>
                  <w:pPr>
                    <w:pStyle w:val="31"/>
                    <w:bidi w:val="0"/>
                    <w:rPr>
                      <w:rFonts w:hint="default"/>
                      <w:lang w:val="en-US" w:eastAsia="zh-CN"/>
                    </w:rPr>
                  </w:pPr>
                  <w:r>
                    <w:rPr>
                      <w:rFonts w:hint="eastAsia"/>
                      <w:lang w:val="en-US" w:eastAsia="zh-CN"/>
                    </w:rPr>
                    <w:t>19</w:t>
                  </w:r>
                </w:p>
              </w:tc>
              <w:tc>
                <w:tcPr>
                  <w:tcW w:w="1224" w:type="pct"/>
                  <w:shd w:val="clear" w:color="auto" w:fill="auto"/>
                  <w:vAlign w:val="center"/>
                </w:tcPr>
                <w:p>
                  <w:pPr>
                    <w:pStyle w:val="31"/>
                    <w:bidi w:val="0"/>
                  </w:pPr>
                  <w:r>
                    <w:t>除尘设备</w:t>
                  </w:r>
                </w:p>
              </w:tc>
              <w:tc>
                <w:tcPr>
                  <w:tcW w:w="1021" w:type="pct"/>
                  <w:shd w:val="clear" w:color="auto" w:fill="auto"/>
                  <w:vAlign w:val="center"/>
                </w:tcPr>
                <w:p>
                  <w:pPr>
                    <w:pStyle w:val="31"/>
                    <w:bidi w:val="0"/>
                    <w:rPr>
                      <w:rFonts w:hint="default"/>
                      <w:lang w:val="en-US" w:eastAsia="zh-CN"/>
                    </w:rPr>
                  </w:pPr>
                  <w:r>
                    <w:t>HSCC-I型</w:t>
                  </w:r>
                </w:p>
              </w:tc>
              <w:tc>
                <w:tcPr>
                  <w:tcW w:w="1047" w:type="pct"/>
                  <w:shd w:val="clear" w:color="auto" w:fill="auto"/>
                  <w:vAlign w:val="center"/>
                </w:tcPr>
                <w:p>
                  <w:pPr>
                    <w:pStyle w:val="31"/>
                    <w:bidi w:val="0"/>
                    <w:rPr>
                      <w:rFonts w:hint="default"/>
                      <w:lang w:val="en-US" w:eastAsia="zh-CN"/>
                    </w:rPr>
                  </w:pPr>
                  <w:r>
                    <w:t>4</w:t>
                  </w:r>
                  <w:r>
                    <w:rPr>
                      <w:rFonts w:hint="eastAsia"/>
                      <w:lang w:val="en-US" w:eastAsia="zh-CN"/>
                    </w:rPr>
                    <w:t>台（套）</w:t>
                  </w:r>
                </w:p>
              </w:tc>
              <w:tc>
                <w:tcPr>
                  <w:tcW w:w="1206" w:type="pct"/>
                  <w:shd w:val="clear" w:color="auto" w:fill="auto"/>
                  <w:vAlign w:val="center"/>
                </w:tcPr>
                <w:p>
                  <w:pPr>
                    <w:pStyle w:val="31"/>
                    <w:bidi w:val="0"/>
                    <w:rPr>
                      <w:rFonts w:hint="default"/>
                      <w:lang w:val="en-US" w:eastAsia="zh-CN"/>
                    </w:rPr>
                  </w:pPr>
                  <w:r>
                    <w:t>4</w:t>
                  </w:r>
                  <w:r>
                    <w:rPr>
                      <w:rFonts w:hint="eastAsia"/>
                      <w:lang w:val="en-US" w:eastAsia="zh-CN"/>
                    </w:rPr>
                    <w:t>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99" w:type="pct"/>
                  <w:shd w:val="clear" w:color="auto" w:fill="auto"/>
                  <w:vAlign w:val="center"/>
                </w:tcPr>
                <w:p>
                  <w:pPr>
                    <w:pStyle w:val="31"/>
                    <w:bidi w:val="0"/>
                    <w:rPr>
                      <w:rFonts w:hint="default"/>
                      <w:lang w:val="en-US" w:eastAsia="zh-CN"/>
                    </w:rPr>
                  </w:pPr>
                  <w:r>
                    <w:rPr>
                      <w:rFonts w:hint="eastAsia"/>
                      <w:lang w:val="en-US" w:eastAsia="zh-CN"/>
                    </w:rPr>
                    <w:t>20</w:t>
                  </w:r>
                </w:p>
              </w:tc>
              <w:tc>
                <w:tcPr>
                  <w:tcW w:w="1224" w:type="pct"/>
                  <w:shd w:val="clear" w:color="auto" w:fill="auto"/>
                  <w:vAlign w:val="center"/>
                </w:tcPr>
                <w:p>
                  <w:pPr>
                    <w:pStyle w:val="31"/>
                    <w:bidi w:val="0"/>
                  </w:pPr>
                  <w:r>
                    <w:t>平台</w:t>
                  </w:r>
                </w:p>
              </w:tc>
              <w:tc>
                <w:tcPr>
                  <w:tcW w:w="1021" w:type="pct"/>
                  <w:shd w:val="clear" w:color="auto" w:fill="auto"/>
                  <w:vAlign w:val="center"/>
                </w:tcPr>
                <w:p>
                  <w:pPr>
                    <w:pStyle w:val="31"/>
                    <w:bidi w:val="0"/>
                    <w:rPr>
                      <w:rFonts w:hint="default"/>
                      <w:lang w:val="en-US" w:eastAsia="zh-CN"/>
                    </w:rPr>
                  </w:pPr>
                  <w:r>
                    <w:t>/</w:t>
                  </w:r>
                </w:p>
              </w:tc>
              <w:tc>
                <w:tcPr>
                  <w:tcW w:w="1047" w:type="pct"/>
                  <w:shd w:val="clear" w:color="auto" w:fill="auto"/>
                  <w:vAlign w:val="center"/>
                </w:tcPr>
                <w:p>
                  <w:pPr>
                    <w:pStyle w:val="31"/>
                    <w:bidi w:val="0"/>
                    <w:rPr>
                      <w:rFonts w:hint="default"/>
                      <w:lang w:val="en-US" w:eastAsia="zh-CN"/>
                    </w:rPr>
                  </w:pPr>
                  <w:r>
                    <w:t>1</w:t>
                  </w:r>
                  <w:r>
                    <w:rPr>
                      <w:rFonts w:hint="eastAsia"/>
                      <w:lang w:val="en-US" w:eastAsia="zh-CN"/>
                    </w:rPr>
                    <w:t>台（套）</w:t>
                  </w:r>
                </w:p>
              </w:tc>
              <w:tc>
                <w:tcPr>
                  <w:tcW w:w="1206" w:type="pct"/>
                  <w:shd w:val="clear" w:color="auto" w:fill="auto"/>
                  <w:vAlign w:val="center"/>
                </w:tcPr>
                <w:p>
                  <w:pPr>
                    <w:pStyle w:val="31"/>
                    <w:bidi w:val="0"/>
                    <w:rPr>
                      <w:rFonts w:hint="default"/>
                      <w:lang w:val="en-US" w:eastAsia="zh-CN"/>
                    </w:rPr>
                  </w:pPr>
                  <w:r>
                    <w:t>1</w:t>
                  </w:r>
                  <w:r>
                    <w:rPr>
                      <w:rFonts w:hint="eastAsia"/>
                      <w:lang w:val="en-US" w:eastAsia="zh-CN"/>
                    </w:rPr>
                    <w:t>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99" w:type="pct"/>
                  <w:shd w:val="clear" w:color="auto" w:fill="auto"/>
                  <w:vAlign w:val="center"/>
                </w:tcPr>
                <w:p>
                  <w:pPr>
                    <w:pStyle w:val="31"/>
                    <w:bidi w:val="0"/>
                    <w:rPr>
                      <w:rFonts w:hint="default"/>
                      <w:lang w:val="en-US" w:eastAsia="zh-CN"/>
                    </w:rPr>
                  </w:pPr>
                  <w:r>
                    <w:rPr>
                      <w:rFonts w:hint="eastAsia"/>
                      <w:lang w:val="en-US" w:eastAsia="zh-CN"/>
                    </w:rPr>
                    <w:t>21</w:t>
                  </w:r>
                </w:p>
              </w:tc>
              <w:tc>
                <w:tcPr>
                  <w:tcW w:w="1224" w:type="pct"/>
                  <w:shd w:val="clear" w:color="auto" w:fill="auto"/>
                  <w:vAlign w:val="center"/>
                </w:tcPr>
                <w:p>
                  <w:pPr>
                    <w:pStyle w:val="31"/>
                    <w:bidi w:val="0"/>
                  </w:pPr>
                  <w:r>
                    <w:t>震动磨台</w:t>
                  </w:r>
                </w:p>
              </w:tc>
              <w:tc>
                <w:tcPr>
                  <w:tcW w:w="1021" w:type="pct"/>
                  <w:shd w:val="clear" w:color="auto" w:fill="auto"/>
                  <w:vAlign w:val="center"/>
                </w:tcPr>
                <w:p>
                  <w:pPr>
                    <w:pStyle w:val="31"/>
                    <w:bidi w:val="0"/>
                    <w:rPr>
                      <w:rFonts w:hint="default"/>
                      <w:lang w:val="en-US" w:eastAsia="zh-CN"/>
                    </w:rPr>
                  </w:pPr>
                  <w:r>
                    <w:t>/</w:t>
                  </w:r>
                </w:p>
              </w:tc>
              <w:tc>
                <w:tcPr>
                  <w:tcW w:w="1047" w:type="pct"/>
                  <w:shd w:val="clear" w:color="auto" w:fill="auto"/>
                  <w:vAlign w:val="center"/>
                </w:tcPr>
                <w:p>
                  <w:pPr>
                    <w:pStyle w:val="31"/>
                    <w:bidi w:val="0"/>
                    <w:rPr>
                      <w:rFonts w:hint="default"/>
                      <w:lang w:val="en-US" w:eastAsia="zh-CN"/>
                    </w:rPr>
                  </w:pPr>
                  <w:r>
                    <w:t>1</w:t>
                  </w:r>
                  <w:r>
                    <w:rPr>
                      <w:rFonts w:hint="eastAsia"/>
                      <w:lang w:val="en-US" w:eastAsia="zh-CN"/>
                    </w:rPr>
                    <w:t>台（套）</w:t>
                  </w:r>
                </w:p>
              </w:tc>
              <w:tc>
                <w:tcPr>
                  <w:tcW w:w="1206" w:type="pct"/>
                  <w:shd w:val="clear" w:color="auto" w:fill="auto"/>
                  <w:vAlign w:val="center"/>
                </w:tcPr>
                <w:p>
                  <w:pPr>
                    <w:pStyle w:val="31"/>
                    <w:bidi w:val="0"/>
                    <w:rPr>
                      <w:rFonts w:hint="default"/>
                      <w:lang w:val="en-US" w:eastAsia="zh-CN"/>
                    </w:rPr>
                  </w:pPr>
                  <w:r>
                    <w:t>1</w:t>
                  </w:r>
                  <w:r>
                    <w:rPr>
                      <w:rFonts w:hint="eastAsia"/>
                      <w:lang w:val="en-US" w:eastAsia="zh-CN"/>
                    </w:rPr>
                    <w:t>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4" w:hRule="atLeast"/>
                <w:jc w:val="center"/>
              </w:trPr>
              <w:tc>
                <w:tcPr>
                  <w:tcW w:w="499" w:type="pct"/>
                  <w:shd w:val="clear" w:color="auto" w:fill="auto"/>
                  <w:vAlign w:val="center"/>
                </w:tcPr>
                <w:p>
                  <w:pPr>
                    <w:pStyle w:val="31"/>
                    <w:bidi w:val="0"/>
                    <w:rPr>
                      <w:rFonts w:hint="default"/>
                      <w:lang w:val="en-US" w:eastAsia="zh-CN"/>
                    </w:rPr>
                  </w:pPr>
                  <w:r>
                    <w:rPr>
                      <w:rFonts w:hint="eastAsia"/>
                      <w:lang w:val="en-US" w:eastAsia="zh-CN"/>
                    </w:rPr>
                    <w:t>22</w:t>
                  </w:r>
                </w:p>
              </w:tc>
              <w:tc>
                <w:tcPr>
                  <w:tcW w:w="1224" w:type="pct"/>
                  <w:shd w:val="clear" w:color="auto" w:fill="auto"/>
                  <w:vAlign w:val="center"/>
                </w:tcPr>
                <w:p>
                  <w:pPr>
                    <w:pStyle w:val="31"/>
                    <w:bidi w:val="0"/>
                  </w:pPr>
                  <w:r>
                    <w:t>叠合楼板模具</w:t>
                  </w:r>
                </w:p>
              </w:tc>
              <w:tc>
                <w:tcPr>
                  <w:tcW w:w="1021" w:type="pct"/>
                  <w:shd w:val="clear" w:color="auto" w:fill="auto"/>
                  <w:vAlign w:val="center"/>
                </w:tcPr>
                <w:p>
                  <w:pPr>
                    <w:pStyle w:val="31"/>
                    <w:bidi w:val="0"/>
                    <w:rPr>
                      <w:rFonts w:hint="default"/>
                      <w:lang w:val="en-US" w:eastAsia="zh-CN"/>
                    </w:rPr>
                  </w:pPr>
                  <w:r>
                    <w:t>/</w:t>
                  </w:r>
                </w:p>
              </w:tc>
              <w:tc>
                <w:tcPr>
                  <w:tcW w:w="1047" w:type="pct"/>
                  <w:shd w:val="clear" w:color="auto" w:fill="auto"/>
                  <w:vAlign w:val="center"/>
                </w:tcPr>
                <w:p>
                  <w:pPr>
                    <w:pStyle w:val="31"/>
                    <w:bidi w:val="0"/>
                    <w:rPr>
                      <w:rFonts w:hint="default"/>
                      <w:lang w:val="en-US" w:eastAsia="zh-CN"/>
                    </w:rPr>
                  </w:pPr>
                  <w:r>
                    <w:t>20</w:t>
                  </w:r>
                  <w:r>
                    <w:rPr>
                      <w:rFonts w:hint="eastAsia"/>
                      <w:lang w:val="en-US" w:eastAsia="zh-CN"/>
                    </w:rPr>
                    <w:t>台（套）</w:t>
                  </w:r>
                </w:p>
              </w:tc>
              <w:tc>
                <w:tcPr>
                  <w:tcW w:w="1206" w:type="pct"/>
                  <w:shd w:val="clear" w:color="auto" w:fill="auto"/>
                  <w:vAlign w:val="center"/>
                </w:tcPr>
                <w:p>
                  <w:pPr>
                    <w:pStyle w:val="31"/>
                    <w:bidi w:val="0"/>
                    <w:rPr>
                      <w:rFonts w:hint="default"/>
                      <w:lang w:val="en-US" w:eastAsia="zh-CN"/>
                    </w:rPr>
                  </w:pPr>
                  <w:r>
                    <w:t>20</w:t>
                  </w:r>
                  <w:r>
                    <w:rPr>
                      <w:rFonts w:hint="eastAsia"/>
                      <w:lang w:val="en-US" w:eastAsia="zh-CN"/>
                    </w:rPr>
                    <w:t>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99" w:type="pct"/>
                  <w:shd w:val="clear" w:color="auto" w:fill="auto"/>
                  <w:vAlign w:val="center"/>
                </w:tcPr>
                <w:p>
                  <w:pPr>
                    <w:pStyle w:val="31"/>
                    <w:bidi w:val="0"/>
                    <w:rPr>
                      <w:rFonts w:hint="default"/>
                      <w:lang w:val="en-US" w:eastAsia="zh-CN"/>
                    </w:rPr>
                  </w:pPr>
                  <w:r>
                    <w:rPr>
                      <w:rFonts w:hint="eastAsia"/>
                      <w:lang w:val="en-US" w:eastAsia="zh-CN"/>
                    </w:rPr>
                    <w:t>23</w:t>
                  </w:r>
                </w:p>
              </w:tc>
              <w:tc>
                <w:tcPr>
                  <w:tcW w:w="1224" w:type="pct"/>
                  <w:shd w:val="clear" w:color="auto" w:fill="auto"/>
                  <w:vAlign w:val="center"/>
                </w:tcPr>
                <w:p>
                  <w:pPr>
                    <w:pStyle w:val="31"/>
                    <w:bidi w:val="0"/>
                  </w:pPr>
                  <w:r>
                    <w:t>布料机</w:t>
                  </w:r>
                </w:p>
              </w:tc>
              <w:tc>
                <w:tcPr>
                  <w:tcW w:w="1021" w:type="pct"/>
                  <w:shd w:val="clear" w:color="auto" w:fill="auto"/>
                  <w:vAlign w:val="center"/>
                </w:tcPr>
                <w:p>
                  <w:pPr>
                    <w:pStyle w:val="31"/>
                    <w:bidi w:val="0"/>
                    <w:rPr>
                      <w:rFonts w:hint="default"/>
                      <w:lang w:val="en-US" w:eastAsia="zh-CN"/>
                    </w:rPr>
                  </w:pPr>
                  <w:r>
                    <w:t>/</w:t>
                  </w:r>
                </w:p>
              </w:tc>
              <w:tc>
                <w:tcPr>
                  <w:tcW w:w="1047" w:type="pct"/>
                  <w:shd w:val="clear" w:color="auto" w:fill="auto"/>
                  <w:vAlign w:val="center"/>
                </w:tcPr>
                <w:p>
                  <w:pPr>
                    <w:pStyle w:val="31"/>
                    <w:bidi w:val="0"/>
                    <w:rPr>
                      <w:rFonts w:hint="default"/>
                      <w:lang w:val="en-US" w:eastAsia="zh-CN"/>
                    </w:rPr>
                  </w:pPr>
                  <w:r>
                    <w:t>1</w:t>
                  </w:r>
                  <w:r>
                    <w:rPr>
                      <w:rFonts w:hint="eastAsia"/>
                      <w:lang w:val="en-US" w:eastAsia="zh-CN"/>
                    </w:rPr>
                    <w:t>台（套）</w:t>
                  </w:r>
                </w:p>
              </w:tc>
              <w:tc>
                <w:tcPr>
                  <w:tcW w:w="1206" w:type="pct"/>
                  <w:shd w:val="clear" w:color="auto" w:fill="auto"/>
                  <w:vAlign w:val="center"/>
                </w:tcPr>
                <w:p>
                  <w:pPr>
                    <w:pStyle w:val="31"/>
                    <w:bidi w:val="0"/>
                    <w:rPr>
                      <w:rFonts w:hint="default"/>
                      <w:lang w:val="en-US" w:eastAsia="zh-CN"/>
                    </w:rPr>
                  </w:pPr>
                  <w:r>
                    <w:t>1</w:t>
                  </w:r>
                  <w:r>
                    <w:rPr>
                      <w:rFonts w:hint="eastAsia"/>
                      <w:lang w:val="en-US" w:eastAsia="zh-CN"/>
                    </w:rPr>
                    <w:t>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99" w:type="pct"/>
                  <w:shd w:val="clear" w:color="auto" w:fill="auto"/>
                  <w:vAlign w:val="center"/>
                </w:tcPr>
                <w:p>
                  <w:pPr>
                    <w:pStyle w:val="31"/>
                    <w:bidi w:val="0"/>
                    <w:rPr>
                      <w:rFonts w:hint="default"/>
                      <w:lang w:val="en-US" w:eastAsia="zh-CN"/>
                    </w:rPr>
                  </w:pPr>
                  <w:r>
                    <w:rPr>
                      <w:rFonts w:hint="eastAsia"/>
                      <w:lang w:val="en-US" w:eastAsia="zh-CN"/>
                    </w:rPr>
                    <w:t>24</w:t>
                  </w:r>
                </w:p>
              </w:tc>
              <w:tc>
                <w:tcPr>
                  <w:tcW w:w="1224" w:type="pct"/>
                  <w:shd w:val="clear" w:color="auto" w:fill="auto"/>
                  <w:vAlign w:val="center"/>
                </w:tcPr>
                <w:p>
                  <w:pPr>
                    <w:pStyle w:val="31"/>
                    <w:bidi w:val="0"/>
                  </w:pPr>
                  <w:r>
                    <w:t>楼梯模具</w:t>
                  </w:r>
                </w:p>
              </w:tc>
              <w:tc>
                <w:tcPr>
                  <w:tcW w:w="1021" w:type="pct"/>
                  <w:shd w:val="clear" w:color="auto" w:fill="auto"/>
                  <w:vAlign w:val="center"/>
                </w:tcPr>
                <w:p>
                  <w:pPr>
                    <w:pStyle w:val="31"/>
                    <w:bidi w:val="0"/>
                    <w:rPr>
                      <w:rFonts w:hint="default"/>
                      <w:lang w:val="en-US" w:eastAsia="zh-CN"/>
                    </w:rPr>
                  </w:pPr>
                  <w:r>
                    <w:t>/</w:t>
                  </w:r>
                </w:p>
              </w:tc>
              <w:tc>
                <w:tcPr>
                  <w:tcW w:w="1047" w:type="pct"/>
                  <w:shd w:val="clear" w:color="auto" w:fill="auto"/>
                  <w:vAlign w:val="center"/>
                </w:tcPr>
                <w:p>
                  <w:pPr>
                    <w:pStyle w:val="31"/>
                    <w:bidi w:val="0"/>
                    <w:rPr>
                      <w:rFonts w:hint="default"/>
                      <w:lang w:val="en-US" w:eastAsia="zh-CN"/>
                    </w:rPr>
                  </w:pPr>
                  <w:r>
                    <w:t>4</w:t>
                  </w:r>
                  <w:r>
                    <w:rPr>
                      <w:rFonts w:hint="eastAsia"/>
                      <w:lang w:val="en-US" w:eastAsia="zh-CN"/>
                    </w:rPr>
                    <w:t>台（套）</w:t>
                  </w:r>
                </w:p>
              </w:tc>
              <w:tc>
                <w:tcPr>
                  <w:tcW w:w="1206" w:type="pct"/>
                  <w:shd w:val="clear" w:color="auto" w:fill="auto"/>
                  <w:vAlign w:val="center"/>
                </w:tcPr>
                <w:p>
                  <w:pPr>
                    <w:pStyle w:val="31"/>
                    <w:bidi w:val="0"/>
                    <w:rPr>
                      <w:rFonts w:hint="default"/>
                      <w:lang w:val="en-US" w:eastAsia="zh-CN"/>
                    </w:rPr>
                  </w:pPr>
                  <w:r>
                    <w:t>4</w:t>
                  </w:r>
                  <w:r>
                    <w:rPr>
                      <w:rFonts w:hint="eastAsia"/>
                      <w:lang w:val="en-US" w:eastAsia="zh-CN"/>
                    </w:rPr>
                    <w:t>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4" w:hRule="atLeast"/>
                <w:jc w:val="center"/>
              </w:trPr>
              <w:tc>
                <w:tcPr>
                  <w:tcW w:w="499" w:type="pct"/>
                  <w:shd w:val="clear" w:color="auto" w:fill="auto"/>
                  <w:vAlign w:val="center"/>
                </w:tcPr>
                <w:p>
                  <w:pPr>
                    <w:pStyle w:val="31"/>
                    <w:bidi w:val="0"/>
                    <w:rPr>
                      <w:rFonts w:hint="default"/>
                      <w:lang w:val="en-US" w:eastAsia="zh-CN"/>
                    </w:rPr>
                  </w:pPr>
                  <w:r>
                    <w:rPr>
                      <w:rFonts w:hint="eastAsia"/>
                      <w:lang w:val="en-US" w:eastAsia="zh-CN"/>
                    </w:rPr>
                    <w:t>25</w:t>
                  </w:r>
                </w:p>
              </w:tc>
              <w:tc>
                <w:tcPr>
                  <w:tcW w:w="1224" w:type="pct"/>
                  <w:shd w:val="clear" w:color="auto" w:fill="auto"/>
                  <w:vAlign w:val="center"/>
                </w:tcPr>
                <w:p>
                  <w:pPr>
                    <w:pStyle w:val="31"/>
                    <w:bidi w:val="0"/>
                  </w:pPr>
                  <w:r>
                    <w:rPr>
                      <w:rFonts w:hint="eastAsia"/>
                    </w:rPr>
                    <w:t>商品混凝土</w:t>
                  </w:r>
                  <w:r>
                    <w:t>输送线</w:t>
                  </w:r>
                </w:p>
              </w:tc>
              <w:tc>
                <w:tcPr>
                  <w:tcW w:w="1021" w:type="pct"/>
                  <w:shd w:val="clear" w:color="auto" w:fill="auto"/>
                  <w:vAlign w:val="center"/>
                </w:tcPr>
                <w:p>
                  <w:pPr>
                    <w:pStyle w:val="31"/>
                    <w:bidi w:val="0"/>
                    <w:rPr>
                      <w:rFonts w:hint="default"/>
                      <w:lang w:val="en-US" w:eastAsia="zh-CN"/>
                    </w:rPr>
                  </w:pPr>
                  <w:r>
                    <w:t>/</w:t>
                  </w:r>
                </w:p>
              </w:tc>
              <w:tc>
                <w:tcPr>
                  <w:tcW w:w="1047" w:type="pct"/>
                  <w:shd w:val="clear" w:color="auto" w:fill="auto"/>
                  <w:vAlign w:val="center"/>
                </w:tcPr>
                <w:p>
                  <w:pPr>
                    <w:pStyle w:val="31"/>
                    <w:bidi w:val="0"/>
                    <w:rPr>
                      <w:rFonts w:hint="default"/>
                      <w:lang w:val="en-US" w:eastAsia="zh-CN"/>
                    </w:rPr>
                  </w:pPr>
                  <w:r>
                    <w:t>1</w:t>
                  </w:r>
                  <w:r>
                    <w:rPr>
                      <w:rFonts w:hint="eastAsia"/>
                      <w:lang w:val="en-US" w:eastAsia="zh-CN"/>
                    </w:rPr>
                    <w:t>台（套）</w:t>
                  </w:r>
                </w:p>
              </w:tc>
              <w:tc>
                <w:tcPr>
                  <w:tcW w:w="1206" w:type="pct"/>
                  <w:shd w:val="clear" w:color="auto" w:fill="auto"/>
                  <w:vAlign w:val="center"/>
                </w:tcPr>
                <w:p>
                  <w:pPr>
                    <w:pStyle w:val="31"/>
                    <w:bidi w:val="0"/>
                    <w:rPr>
                      <w:rFonts w:hint="default"/>
                      <w:lang w:val="en-US" w:eastAsia="zh-CN"/>
                    </w:rPr>
                  </w:pPr>
                  <w:r>
                    <w:t>1</w:t>
                  </w:r>
                  <w:r>
                    <w:rPr>
                      <w:rFonts w:hint="eastAsia"/>
                      <w:lang w:val="en-US" w:eastAsia="zh-CN"/>
                    </w:rPr>
                    <w:t>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4" w:hRule="atLeast"/>
                <w:jc w:val="center"/>
              </w:trPr>
              <w:tc>
                <w:tcPr>
                  <w:tcW w:w="499" w:type="pct"/>
                  <w:shd w:val="clear" w:color="auto" w:fill="auto"/>
                  <w:vAlign w:val="center"/>
                </w:tcPr>
                <w:p>
                  <w:pPr>
                    <w:pStyle w:val="31"/>
                    <w:bidi w:val="0"/>
                    <w:rPr>
                      <w:rFonts w:hint="default"/>
                      <w:lang w:val="en-US" w:eastAsia="zh-CN"/>
                    </w:rPr>
                  </w:pPr>
                  <w:r>
                    <w:rPr>
                      <w:rFonts w:hint="eastAsia"/>
                      <w:lang w:val="en-US" w:eastAsia="zh-CN"/>
                    </w:rPr>
                    <w:t>26</w:t>
                  </w:r>
                </w:p>
              </w:tc>
              <w:tc>
                <w:tcPr>
                  <w:tcW w:w="1224" w:type="pct"/>
                  <w:shd w:val="clear" w:color="auto" w:fill="auto"/>
                  <w:vAlign w:val="center"/>
                </w:tcPr>
                <w:p>
                  <w:pPr>
                    <w:pStyle w:val="31"/>
                    <w:bidi w:val="0"/>
                  </w:pPr>
                  <w:r>
                    <w:rPr>
                      <w:rFonts w:hint="eastAsia"/>
                    </w:rPr>
                    <w:t>行</w:t>
                  </w:r>
                  <w:r>
                    <w:t>吊</w:t>
                  </w:r>
                </w:p>
              </w:tc>
              <w:tc>
                <w:tcPr>
                  <w:tcW w:w="1021" w:type="pct"/>
                  <w:shd w:val="clear" w:color="auto" w:fill="auto"/>
                  <w:vAlign w:val="center"/>
                </w:tcPr>
                <w:p>
                  <w:pPr>
                    <w:pStyle w:val="31"/>
                    <w:bidi w:val="0"/>
                    <w:rPr>
                      <w:rFonts w:hint="default"/>
                      <w:lang w:val="en-US" w:eastAsia="zh-CN"/>
                    </w:rPr>
                  </w:pPr>
                  <w:r>
                    <w:t>/</w:t>
                  </w:r>
                </w:p>
              </w:tc>
              <w:tc>
                <w:tcPr>
                  <w:tcW w:w="1047" w:type="pct"/>
                  <w:shd w:val="clear" w:color="auto" w:fill="auto"/>
                  <w:vAlign w:val="center"/>
                </w:tcPr>
                <w:p>
                  <w:pPr>
                    <w:pStyle w:val="31"/>
                    <w:bidi w:val="0"/>
                    <w:rPr>
                      <w:rFonts w:hint="default"/>
                      <w:lang w:val="en-US" w:eastAsia="zh-CN"/>
                    </w:rPr>
                  </w:pPr>
                  <w:r>
                    <w:t>2</w:t>
                  </w:r>
                  <w:r>
                    <w:rPr>
                      <w:rFonts w:hint="eastAsia"/>
                      <w:lang w:val="en-US" w:eastAsia="zh-CN"/>
                    </w:rPr>
                    <w:t>台（套）</w:t>
                  </w:r>
                </w:p>
              </w:tc>
              <w:tc>
                <w:tcPr>
                  <w:tcW w:w="1206" w:type="pct"/>
                  <w:shd w:val="clear" w:color="auto" w:fill="auto"/>
                  <w:vAlign w:val="center"/>
                </w:tcPr>
                <w:p>
                  <w:pPr>
                    <w:pStyle w:val="31"/>
                    <w:bidi w:val="0"/>
                    <w:rPr>
                      <w:rFonts w:hint="default"/>
                      <w:lang w:val="en-US" w:eastAsia="zh-CN"/>
                    </w:rPr>
                  </w:pPr>
                  <w:r>
                    <w:t>2</w:t>
                  </w:r>
                  <w:r>
                    <w:rPr>
                      <w:rFonts w:hint="eastAsia"/>
                      <w:lang w:val="en-US" w:eastAsia="zh-CN"/>
                    </w:rPr>
                    <w:t>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99" w:type="pct"/>
                  <w:shd w:val="clear" w:color="auto" w:fill="auto"/>
                  <w:vAlign w:val="center"/>
                </w:tcPr>
                <w:p>
                  <w:pPr>
                    <w:pStyle w:val="31"/>
                    <w:bidi w:val="0"/>
                    <w:rPr>
                      <w:rFonts w:hint="default"/>
                      <w:lang w:val="en-US" w:eastAsia="zh-CN"/>
                    </w:rPr>
                  </w:pPr>
                  <w:r>
                    <w:rPr>
                      <w:rFonts w:hint="eastAsia"/>
                      <w:lang w:val="en-US" w:eastAsia="zh-CN"/>
                    </w:rPr>
                    <w:t>27</w:t>
                  </w:r>
                </w:p>
              </w:tc>
              <w:tc>
                <w:tcPr>
                  <w:tcW w:w="1224" w:type="pct"/>
                  <w:shd w:val="clear" w:color="auto" w:fill="auto"/>
                  <w:vAlign w:val="center"/>
                </w:tcPr>
                <w:p>
                  <w:pPr>
                    <w:pStyle w:val="31"/>
                    <w:bidi w:val="0"/>
                  </w:pPr>
                  <w:r>
                    <w:t>计量配料机</w:t>
                  </w:r>
                </w:p>
              </w:tc>
              <w:tc>
                <w:tcPr>
                  <w:tcW w:w="1021" w:type="pct"/>
                  <w:shd w:val="clear" w:color="auto" w:fill="auto"/>
                  <w:vAlign w:val="center"/>
                </w:tcPr>
                <w:p>
                  <w:pPr>
                    <w:pStyle w:val="31"/>
                    <w:bidi w:val="0"/>
                    <w:rPr>
                      <w:rFonts w:hint="default"/>
                      <w:lang w:val="en-US" w:eastAsia="zh-CN"/>
                    </w:rPr>
                  </w:pPr>
                  <w:r>
                    <w:t>/</w:t>
                  </w:r>
                </w:p>
              </w:tc>
              <w:tc>
                <w:tcPr>
                  <w:tcW w:w="1047" w:type="pct"/>
                  <w:shd w:val="clear" w:color="auto" w:fill="auto"/>
                  <w:vAlign w:val="center"/>
                </w:tcPr>
                <w:p>
                  <w:pPr>
                    <w:pStyle w:val="31"/>
                    <w:bidi w:val="0"/>
                    <w:rPr>
                      <w:rFonts w:hint="default"/>
                      <w:lang w:val="en-US" w:eastAsia="zh-CN"/>
                    </w:rPr>
                  </w:pPr>
                  <w:r>
                    <w:t>1</w:t>
                  </w:r>
                  <w:r>
                    <w:rPr>
                      <w:rFonts w:hint="eastAsia"/>
                      <w:lang w:val="en-US" w:eastAsia="zh-CN"/>
                    </w:rPr>
                    <w:t>台（套）</w:t>
                  </w:r>
                </w:p>
              </w:tc>
              <w:tc>
                <w:tcPr>
                  <w:tcW w:w="1206" w:type="pct"/>
                  <w:shd w:val="clear" w:color="auto" w:fill="auto"/>
                  <w:vAlign w:val="center"/>
                </w:tcPr>
                <w:p>
                  <w:pPr>
                    <w:pStyle w:val="31"/>
                    <w:bidi w:val="0"/>
                    <w:rPr>
                      <w:rFonts w:hint="default"/>
                      <w:lang w:val="en-US" w:eastAsia="zh-CN"/>
                    </w:rPr>
                  </w:pPr>
                  <w:r>
                    <w:t>1</w:t>
                  </w:r>
                  <w:r>
                    <w:rPr>
                      <w:rFonts w:hint="eastAsia"/>
                      <w:lang w:val="en-US" w:eastAsia="zh-CN"/>
                    </w:rPr>
                    <w:t>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4" w:hRule="atLeast"/>
                <w:jc w:val="center"/>
              </w:trPr>
              <w:tc>
                <w:tcPr>
                  <w:tcW w:w="499" w:type="pct"/>
                  <w:shd w:val="clear" w:color="auto" w:fill="auto"/>
                  <w:vAlign w:val="center"/>
                </w:tcPr>
                <w:p>
                  <w:pPr>
                    <w:pStyle w:val="31"/>
                    <w:bidi w:val="0"/>
                    <w:rPr>
                      <w:rFonts w:hint="default"/>
                      <w:lang w:val="en-US" w:eastAsia="zh-CN"/>
                    </w:rPr>
                  </w:pPr>
                  <w:r>
                    <w:rPr>
                      <w:rFonts w:hint="eastAsia"/>
                      <w:lang w:val="en-US" w:eastAsia="zh-CN"/>
                    </w:rPr>
                    <w:t>28</w:t>
                  </w:r>
                </w:p>
              </w:tc>
              <w:tc>
                <w:tcPr>
                  <w:tcW w:w="1224" w:type="pct"/>
                  <w:shd w:val="clear" w:color="auto" w:fill="auto"/>
                  <w:vAlign w:val="center"/>
                </w:tcPr>
                <w:p>
                  <w:pPr>
                    <w:pStyle w:val="31"/>
                    <w:bidi w:val="0"/>
                  </w:pPr>
                  <w:r>
                    <w:t>搅拌机</w:t>
                  </w:r>
                </w:p>
              </w:tc>
              <w:tc>
                <w:tcPr>
                  <w:tcW w:w="1021" w:type="pct"/>
                  <w:shd w:val="clear" w:color="auto" w:fill="auto"/>
                  <w:vAlign w:val="center"/>
                </w:tcPr>
                <w:p>
                  <w:pPr>
                    <w:pStyle w:val="31"/>
                    <w:bidi w:val="0"/>
                    <w:rPr>
                      <w:rFonts w:hint="default"/>
                      <w:lang w:val="en-US" w:eastAsia="zh-CN"/>
                    </w:rPr>
                  </w:pPr>
                  <w:r>
                    <w:t>/</w:t>
                  </w:r>
                </w:p>
              </w:tc>
              <w:tc>
                <w:tcPr>
                  <w:tcW w:w="1047" w:type="pct"/>
                  <w:shd w:val="clear" w:color="auto" w:fill="auto"/>
                  <w:vAlign w:val="center"/>
                </w:tcPr>
                <w:p>
                  <w:pPr>
                    <w:pStyle w:val="31"/>
                    <w:bidi w:val="0"/>
                    <w:rPr>
                      <w:rFonts w:hint="default"/>
                      <w:lang w:val="en-US" w:eastAsia="zh-CN"/>
                    </w:rPr>
                  </w:pPr>
                  <w:r>
                    <w:t>2</w:t>
                  </w:r>
                  <w:r>
                    <w:rPr>
                      <w:rFonts w:hint="eastAsia"/>
                      <w:lang w:val="en-US" w:eastAsia="zh-CN"/>
                    </w:rPr>
                    <w:t>台（套）</w:t>
                  </w:r>
                </w:p>
              </w:tc>
              <w:tc>
                <w:tcPr>
                  <w:tcW w:w="1206" w:type="pct"/>
                  <w:shd w:val="clear" w:color="auto" w:fill="auto"/>
                  <w:vAlign w:val="center"/>
                </w:tcPr>
                <w:p>
                  <w:pPr>
                    <w:pStyle w:val="31"/>
                    <w:bidi w:val="0"/>
                    <w:rPr>
                      <w:rFonts w:hint="default"/>
                      <w:lang w:val="en-US" w:eastAsia="zh-CN"/>
                    </w:rPr>
                  </w:pPr>
                  <w:r>
                    <w:t>2</w:t>
                  </w:r>
                  <w:r>
                    <w:rPr>
                      <w:rFonts w:hint="eastAsia"/>
                      <w:lang w:val="en-US" w:eastAsia="zh-CN"/>
                    </w:rPr>
                    <w:t>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4" w:hRule="atLeast"/>
                <w:jc w:val="center"/>
              </w:trPr>
              <w:tc>
                <w:tcPr>
                  <w:tcW w:w="499" w:type="pct"/>
                  <w:shd w:val="clear" w:color="auto" w:fill="auto"/>
                  <w:vAlign w:val="center"/>
                </w:tcPr>
                <w:p>
                  <w:pPr>
                    <w:pStyle w:val="31"/>
                    <w:bidi w:val="0"/>
                    <w:rPr>
                      <w:rFonts w:hint="default"/>
                      <w:lang w:val="en-US" w:eastAsia="zh-CN"/>
                    </w:rPr>
                  </w:pPr>
                  <w:r>
                    <w:rPr>
                      <w:rFonts w:hint="eastAsia"/>
                      <w:lang w:val="en-US" w:eastAsia="zh-CN"/>
                    </w:rPr>
                    <w:t>29</w:t>
                  </w:r>
                </w:p>
              </w:tc>
              <w:tc>
                <w:tcPr>
                  <w:tcW w:w="1224" w:type="pct"/>
                  <w:shd w:val="clear" w:color="auto" w:fill="auto"/>
                  <w:vAlign w:val="center"/>
                </w:tcPr>
                <w:p>
                  <w:pPr>
                    <w:pStyle w:val="31"/>
                    <w:bidi w:val="0"/>
                  </w:pPr>
                  <w:r>
                    <w:t>养护房</w:t>
                  </w:r>
                </w:p>
              </w:tc>
              <w:tc>
                <w:tcPr>
                  <w:tcW w:w="1021" w:type="pct"/>
                  <w:shd w:val="clear" w:color="auto" w:fill="auto"/>
                  <w:vAlign w:val="center"/>
                </w:tcPr>
                <w:p>
                  <w:pPr>
                    <w:pStyle w:val="31"/>
                    <w:bidi w:val="0"/>
                    <w:rPr>
                      <w:rFonts w:hint="default"/>
                      <w:lang w:val="en-US" w:eastAsia="zh-CN"/>
                    </w:rPr>
                  </w:pPr>
                  <w:r>
                    <w:rPr>
                      <w:rFonts w:hint="eastAsia"/>
                      <w:lang w:val="en-US" w:eastAsia="zh-CN"/>
                    </w:rPr>
                    <w:t>/</w:t>
                  </w:r>
                </w:p>
              </w:tc>
              <w:tc>
                <w:tcPr>
                  <w:tcW w:w="1047" w:type="pct"/>
                  <w:shd w:val="clear" w:color="auto" w:fill="auto"/>
                  <w:vAlign w:val="center"/>
                </w:tcPr>
                <w:p>
                  <w:pPr>
                    <w:pStyle w:val="31"/>
                    <w:bidi w:val="0"/>
                    <w:rPr>
                      <w:rFonts w:hint="default"/>
                      <w:lang w:val="en-US" w:eastAsia="zh-CN"/>
                    </w:rPr>
                  </w:pPr>
                  <w:r>
                    <w:t>2</w:t>
                  </w:r>
                  <w:r>
                    <w:rPr>
                      <w:rFonts w:hint="eastAsia"/>
                      <w:lang w:val="en-US" w:eastAsia="zh-CN"/>
                    </w:rPr>
                    <w:t>台（套）</w:t>
                  </w:r>
                </w:p>
              </w:tc>
              <w:tc>
                <w:tcPr>
                  <w:tcW w:w="1206" w:type="pct"/>
                  <w:shd w:val="clear" w:color="auto" w:fill="auto"/>
                  <w:vAlign w:val="center"/>
                </w:tcPr>
                <w:p>
                  <w:pPr>
                    <w:pStyle w:val="31"/>
                    <w:bidi w:val="0"/>
                    <w:rPr>
                      <w:rFonts w:hint="default"/>
                      <w:lang w:val="en-US" w:eastAsia="zh-CN"/>
                    </w:rPr>
                  </w:pPr>
                  <w:r>
                    <w:t>2</w:t>
                  </w:r>
                  <w:r>
                    <w:rPr>
                      <w:rFonts w:hint="eastAsia"/>
                      <w:lang w:val="en-US" w:eastAsia="zh-CN"/>
                    </w:rPr>
                    <w:t>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99" w:type="pct"/>
                  <w:shd w:val="clear" w:color="auto" w:fill="auto"/>
                  <w:vAlign w:val="center"/>
                </w:tcPr>
                <w:p>
                  <w:pPr>
                    <w:pStyle w:val="31"/>
                    <w:bidi w:val="0"/>
                    <w:rPr>
                      <w:rFonts w:hint="default"/>
                      <w:lang w:val="en-US" w:eastAsia="zh-CN"/>
                    </w:rPr>
                  </w:pPr>
                  <w:r>
                    <w:rPr>
                      <w:rFonts w:hint="eastAsia"/>
                      <w:lang w:val="en-US" w:eastAsia="zh-CN"/>
                    </w:rPr>
                    <w:t>30</w:t>
                  </w:r>
                </w:p>
              </w:tc>
              <w:tc>
                <w:tcPr>
                  <w:tcW w:w="1224" w:type="pct"/>
                  <w:shd w:val="clear" w:color="auto" w:fill="auto"/>
                  <w:vAlign w:val="center"/>
                </w:tcPr>
                <w:p>
                  <w:pPr>
                    <w:pStyle w:val="31"/>
                    <w:bidi w:val="0"/>
                  </w:pPr>
                  <w:r>
                    <w:t>螺旋输送机</w:t>
                  </w:r>
                </w:p>
              </w:tc>
              <w:tc>
                <w:tcPr>
                  <w:tcW w:w="1021" w:type="pct"/>
                  <w:shd w:val="clear" w:color="auto" w:fill="auto"/>
                  <w:vAlign w:val="center"/>
                </w:tcPr>
                <w:p>
                  <w:pPr>
                    <w:pStyle w:val="31"/>
                    <w:bidi w:val="0"/>
                    <w:rPr>
                      <w:rFonts w:hint="default"/>
                      <w:lang w:val="en-US" w:eastAsia="zh-CN"/>
                    </w:rPr>
                  </w:pPr>
                </w:p>
              </w:tc>
              <w:tc>
                <w:tcPr>
                  <w:tcW w:w="1047" w:type="pct"/>
                  <w:shd w:val="clear" w:color="auto" w:fill="auto"/>
                  <w:vAlign w:val="center"/>
                </w:tcPr>
                <w:p>
                  <w:pPr>
                    <w:pStyle w:val="31"/>
                    <w:bidi w:val="0"/>
                    <w:rPr>
                      <w:rFonts w:hint="default"/>
                      <w:lang w:val="en-US" w:eastAsia="zh-CN"/>
                    </w:rPr>
                  </w:pPr>
                  <w:r>
                    <w:t>2</w:t>
                  </w:r>
                  <w:r>
                    <w:rPr>
                      <w:rFonts w:hint="eastAsia"/>
                      <w:lang w:val="en-US" w:eastAsia="zh-CN"/>
                    </w:rPr>
                    <w:t>台（套）</w:t>
                  </w:r>
                </w:p>
              </w:tc>
              <w:tc>
                <w:tcPr>
                  <w:tcW w:w="1206" w:type="pct"/>
                  <w:shd w:val="clear" w:color="auto" w:fill="auto"/>
                  <w:vAlign w:val="center"/>
                </w:tcPr>
                <w:p>
                  <w:pPr>
                    <w:pStyle w:val="31"/>
                    <w:bidi w:val="0"/>
                    <w:rPr>
                      <w:rFonts w:hint="default"/>
                      <w:lang w:val="en-US" w:eastAsia="zh-CN"/>
                    </w:rPr>
                  </w:pPr>
                  <w:r>
                    <w:t>2</w:t>
                  </w:r>
                  <w:r>
                    <w:rPr>
                      <w:rFonts w:hint="eastAsia"/>
                      <w:lang w:val="en-US" w:eastAsia="zh-CN"/>
                    </w:rPr>
                    <w:t>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99" w:type="pct"/>
                  <w:shd w:val="clear" w:color="auto" w:fill="auto"/>
                  <w:vAlign w:val="center"/>
                </w:tcPr>
                <w:p>
                  <w:pPr>
                    <w:pStyle w:val="31"/>
                    <w:bidi w:val="0"/>
                    <w:rPr>
                      <w:rFonts w:hint="default"/>
                      <w:lang w:val="en-US" w:eastAsia="zh-CN"/>
                    </w:rPr>
                  </w:pPr>
                  <w:r>
                    <w:rPr>
                      <w:rFonts w:hint="eastAsia"/>
                      <w:lang w:val="en-US" w:eastAsia="zh-CN"/>
                    </w:rPr>
                    <w:t>31</w:t>
                  </w:r>
                </w:p>
              </w:tc>
              <w:tc>
                <w:tcPr>
                  <w:tcW w:w="1224" w:type="pct"/>
                  <w:shd w:val="clear" w:color="auto" w:fill="auto"/>
                  <w:vAlign w:val="center"/>
                </w:tcPr>
                <w:p>
                  <w:pPr>
                    <w:pStyle w:val="31"/>
                    <w:bidi w:val="0"/>
                  </w:pPr>
                  <w:r>
                    <w:rPr>
                      <w:rFonts w:hint="eastAsia"/>
                    </w:rPr>
                    <w:t>抽水泵</w:t>
                  </w:r>
                </w:p>
              </w:tc>
              <w:tc>
                <w:tcPr>
                  <w:tcW w:w="1021" w:type="pct"/>
                  <w:shd w:val="clear" w:color="auto" w:fill="auto"/>
                  <w:vAlign w:val="center"/>
                </w:tcPr>
                <w:p>
                  <w:pPr>
                    <w:pStyle w:val="31"/>
                    <w:bidi w:val="0"/>
                    <w:rPr>
                      <w:rFonts w:hint="default"/>
                      <w:lang w:val="en-US" w:eastAsia="zh-CN"/>
                    </w:rPr>
                  </w:pPr>
                  <w:r>
                    <w:rPr>
                      <w:rFonts w:hint="eastAsia"/>
                    </w:rPr>
                    <w:t>/</w:t>
                  </w:r>
                </w:p>
              </w:tc>
              <w:tc>
                <w:tcPr>
                  <w:tcW w:w="1047" w:type="pct"/>
                  <w:shd w:val="clear" w:color="auto" w:fill="auto"/>
                  <w:vAlign w:val="center"/>
                </w:tcPr>
                <w:p>
                  <w:pPr>
                    <w:pStyle w:val="31"/>
                    <w:bidi w:val="0"/>
                    <w:rPr>
                      <w:rFonts w:hint="default"/>
                      <w:lang w:val="en-US" w:eastAsia="zh-CN"/>
                    </w:rPr>
                  </w:pPr>
                  <w:r>
                    <w:rPr>
                      <w:rFonts w:hint="eastAsia"/>
                    </w:rPr>
                    <w:t>2</w:t>
                  </w:r>
                  <w:r>
                    <w:rPr>
                      <w:rFonts w:hint="eastAsia"/>
                      <w:lang w:val="en-US" w:eastAsia="zh-CN"/>
                    </w:rPr>
                    <w:t>台（套）</w:t>
                  </w:r>
                </w:p>
              </w:tc>
              <w:tc>
                <w:tcPr>
                  <w:tcW w:w="1206" w:type="pct"/>
                  <w:shd w:val="clear" w:color="auto" w:fill="auto"/>
                  <w:vAlign w:val="center"/>
                </w:tcPr>
                <w:p>
                  <w:pPr>
                    <w:pStyle w:val="31"/>
                    <w:bidi w:val="0"/>
                    <w:rPr>
                      <w:rFonts w:hint="default"/>
                      <w:lang w:val="en-US" w:eastAsia="zh-CN"/>
                    </w:rPr>
                  </w:pPr>
                  <w:r>
                    <w:rPr>
                      <w:rFonts w:hint="eastAsia"/>
                    </w:rPr>
                    <w:t>2</w:t>
                  </w:r>
                  <w:r>
                    <w:rPr>
                      <w:rFonts w:hint="eastAsia"/>
                      <w:lang w:val="en-US" w:eastAsia="zh-CN"/>
                    </w:rPr>
                    <w:t>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4" w:hRule="atLeast"/>
                <w:jc w:val="center"/>
              </w:trPr>
              <w:tc>
                <w:tcPr>
                  <w:tcW w:w="499" w:type="pct"/>
                  <w:shd w:val="clear" w:color="auto" w:fill="auto"/>
                  <w:vAlign w:val="center"/>
                </w:tcPr>
                <w:p>
                  <w:pPr>
                    <w:pStyle w:val="31"/>
                    <w:bidi w:val="0"/>
                    <w:rPr>
                      <w:rFonts w:hint="default"/>
                      <w:lang w:val="en-US" w:eastAsia="zh-CN"/>
                    </w:rPr>
                  </w:pPr>
                  <w:r>
                    <w:rPr>
                      <w:rFonts w:hint="eastAsia"/>
                      <w:lang w:val="en-US" w:eastAsia="zh-CN"/>
                    </w:rPr>
                    <w:t>32</w:t>
                  </w:r>
                </w:p>
              </w:tc>
              <w:tc>
                <w:tcPr>
                  <w:tcW w:w="1224" w:type="pct"/>
                  <w:shd w:val="clear" w:color="auto" w:fill="auto"/>
                  <w:vAlign w:val="center"/>
                </w:tcPr>
                <w:p>
                  <w:pPr>
                    <w:pStyle w:val="31"/>
                    <w:bidi w:val="0"/>
                    <w:rPr>
                      <w:rFonts w:hint="eastAsia"/>
                    </w:rPr>
                  </w:pPr>
                  <w:r>
                    <w:rPr>
                      <w:rFonts w:hint="eastAsia"/>
                    </w:rPr>
                    <w:t>4t/h燃气锅炉</w:t>
                  </w:r>
                </w:p>
              </w:tc>
              <w:tc>
                <w:tcPr>
                  <w:tcW w:w="1021" w:type="pct"/>
                  <w:shd w:val="clear" w:color="auto" w:fill="auto"/>
                  <w:vAlign w:val="center"/>
                </w:tcPr>
                <w:p>
                  <w:pPr>
                    <w:pStyle w:val="31"/>
                    <w:bidi w:val="0"/>
                    <w:rPr>
                      <w:rFonts w:hint="default"/>
                      <w:lang w:val="en-US" w:eastAsia="zh-CN"/>
                    </w:rPr>
                  </w:pPr>
                  <w:r>
                    <w:rPr>
                      <w:rFonts w:hint="eastAsia"/>
                      <w:lang w:val="en-US" w:eastAsia="zh-CN"/>
                    </w:rPr>
                    <w:t>1#蒸汽锅炉（</w:t>
                  </w:r>
                  <w:r>
                    <w:rPr>
                      <w:rFonts w:hint="eastAsia"/>
                    </w:rPr>
                    <w:t>WNS4-1.25-Y、Q</w:t>
                  </w:r>
                  <w:r>
                    <w:rPr>
                      <w:rFonts w:hint="eastAsia"/>
                      <w:lang w:val="en-US" w:eastAsia="zh-CN"/>
                    </w:rPr>
                    <w:t>）、2#蒸汽锅炉</w:t>
                  </w:r>
                  <w:r>
                    <w:rPr>
                      <w:rFonts w:hint="eastAsia"/>
                      <w:lang w:eastAsia="zh-CN"/>
                    </w:rPr>
                    <w:t>（</w:t>
                  </w:r>
                  <w:r>
                    <w:rPr>
                      <w:rFonts w:hint="eastAsia"/>
                    </w:rPr>
                    <w:t>WNS4-1.25-Y、Q</w:t>
                  </w:r>
                  <w:r>
                    <w:rPr>
                      <w:rFonts w:hint="eastAsia"/>
                      <w:lang w:eastAsia="zh-CN"/>
                    </w:rPr>
                    <w:t>）</w:t>
                  </w:r>
                </w:p>
              </w:tc>
              <w:tc>
                <w:tcPr>
                  <w:tcW w:w="1047" w:type="pct"/>
                  <w:shd w:val="clear" w:color="auto" w:fill="auto"/>
                  <w:vAlign w:val="center"/>
                </w:tcPr>
                <w:p>
                  <w:pPr>
                    <w:pStyle w:val="31"/>
                    <w:bidi w:val="0"/>
                    <w:rPr>
                      <w:rFonts w:hint="default"/>
                      <w:lang w:val="en-US" w:eastAsia="zh-CN"/>
                    </w:rPr>
                  </w:pPr>
                  <w:r>
                    <w:rPr>
                      <w:rFonts w:hint="eastAsia"/>
                    </w:rPr>
                    <w:t>2</w:t>
                  </w:r>
                  <w:r>
                    <w:rPr>
                      <w:rFonts w:hint="eastAsia"/>
                      <w:lang w:val="en-US" w:eastAsia="zh-CN"/>
                    </w:rPr>
                    <w:t>台（套）</w:t>
                  </w:r>
                </w:p>
              </w:tc>
              <w:tc>
                <w:tcPr>
                  <w:tcW w:w="1206" w:type="pct"/>
                  <w:shd w:val="clear" w:color="auto" w:fill="auto"/>
                  <w:vAlign w:val="center"/>
                </w:tcPr>
                <w:p>
                  <w:pPr>
                    <w:pStyle w:val="31"/>
                    <w:bidi w:val="0"/>
                    <w:rPr>
                      <w:rFonts w:hint="default"/>
                      <w:lang w:val="en-US" w:eastAsia="zh-CN"/>
                    </w:rPr>
                  </w:pPr>
                  <w:r>
                    <w:rPr>
                      <w:rFonts w:hint="eastAsia"/>
                    </w:rPr>
                    <w:t>2</w:t>
                  </w:r>
                  <w:r>
                    <w:rPr>
                      <w:rFonts w:hint="eastAsia"/>
                      <w:lang w:val="en-US" w:eastAsia="zh-CN"/>
                    </w:rPr>
                    <w:t>台（套）</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3.4主要工程变动情况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kern w:val="0"/>
                <w:sz w:val="24"/>
                <w:szCs w:val="24"/>
                <w:highlight w:val="none"/>
                <w:shd w:val="clear" w:color="auto" w:fill="FFFFFF"/>
                <w:lang w:val="en-US" w:eastAsia="zh-CN" w:bidi="ar-SA"/>
              </w:rPr>
            </w:pPr>
            <w:r>
              <w:rPr>
                <w:rFonts w:hint="default" w:ascii="Times New Roman" w:hAnsi="Times New Roman" w:eastAsia="宋体" w:cs="Times New Roman"/>
                <w:b w:val="0"/>
                <w:color w:val="auto"/>
                <w:kern w:val="0"/>
                <w:sz w:val="24"/>
                <w:szCs w:val="24"/>
                <w:shd w:val="clear" w:color="auto" w:fill="FFFFFF"/>
                <w:lang w:val="en-US" w:eastAsia="zh-CN" w:bidi="ar-SA"/>
              </w:rPr>
              <w:t>对照本项目的环评报告表，将本工程实际建设内容与环评阶段内容进行逐一对比分析，建设项目的地点、性质、工艺防治污染、防止生态破坏的措施均未发生重大变动，其中建设规模发生变动。具体变动如下：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kern w:val="0"/>
                <w:sz w:val="24"/>
                <w:szCs w:val="24"/>
                <w:highlight w:val="none"/>
                <w:shd w:val="clear" w:color="auto" w:fill="FFFFFF"/>
                <w:lang w:val="en-US" w:eastAsia="zh-CN" w:bidi="ar-SA"/>
              </w:rPr>
              <w:t>本项目变动前环评设计：</w:t>
            </w:r>
            <w:r>
              <w:rPr>
                <w:rFonts w:hint="default" w:ascii="Times New Roman" w:hAnsi="Times New Roman" w:eastAsia="宋体" w:cs="Times New Roman"/>
                <w:b w:val="0"/>
                <w:bCs w:val="0"/>
                <w:kern w:val="0"/>
                <w:sz w:val="24"/>
                <w:szCs w:val="24"/>
                <w:highlight w:val="none"/>
                <w:shd w:val="clear" w:color="auto" w:fill="FFFFFF"/>
                <w:lang w:val="en-US" w:eastAsia="zh-CN" w:bidi="ar-SA"/>
              </w:rPr>
              <w:t>建成</w:t>
            </w:r>
            <w:r>
              <w:rPr>
                <w:rFonts w:hint="eastAsia"/>
                <w:color w:val="auto"/>
                <w:sz w:val="24"/>
                <w:highlight w:val="none"/>
                <w:lang w:val="en-US" w:eastAsia="zh-CN"/>
              </w:rPr>
              <w:t>年产100</w:t>
            </w:r>
            <w:r>
              <w:rPr>
                <w:color w:val="auto"/>
                <w:sz w:val="24"/>
                <w:highlight w:val="none"/>
              </w:rPr>
              <w:t>万m</w:t>
            </w:r>
            <w:r>
              <w:rPr>
                <w:color w:val="auto"/>
                <w:sz w:val="24"/>
                <w:highlight w:val="none"/>
                <w:vertAlign w:val="superscript"/>
              </w:rPr>
              <w:t>2</w:t>
            </w:r>
            <w:r>
              <w:rPr>
                <w:rFonts w:hint="eastAsia"/>
                <w:color w:val="auto"/>
                <w:sz w:val="24"/>
                <w:highlight w:val="none"/>
              </w:rPr>
              <w:t>复合免拆保温模板</w:t>
            </w:r>
            <w:r>
              <w:rPr>
                <w:color w:val="auto"/>
                <w:sz w:val="24"/>
                <w:highlight w:val="none"/>
              </w:rPr>
              <w:t>、</w:t>
            </w:r>
            <w:r>
              <w:rPr>
                <w:rFonts w:hint="eastAsia"/>
                <w:color w:val="auto"/>
                <w:sz w:val="24"/>
                <w:highlight w:val="none"/>
                <w:lang w:val="en-US" w:eastAsia="zh-CN"/>
              </w:rPr>
              <w:t>100</w:t>
            </w:r>
            <w:r>
              <w:rPr>
                <w:color w:val="auto"/>
                <w:sz w:val="24"/>
                <w:highlight w:val="none"/>
              </w:rPr>
              <w:t>万m</w:t>
            </w:r>
            <w:r>
              <w:rPr>
                <w:color w:val="auto"/>
                <w:sz w:val="24"/>
                <w:highlight w:val="none"/>
                <w:vertAlign w:val="superscript"/>
              </w:rPr>
              <w:t>2</w:t>
            </w:r>
            <w:r>
              <w:rPr>
                <w:color w:val="auto"/>
                <w:sz w:val="24"/>
                <w:highlight w:val="none"/>
              </w:rPr>
              <w:t>叠合楼板、PC构件</w:t>
            </w:r>
            <w:r>
              <w:rPr>
                <w:rFonts w:hint="eastAsia"/>
                <w:color w:val="auto"/>
                <w:sz w:val="24"/>
                <w:highlight w:val="none"/>
                <w:lang w:val="en-US" w:eastAsia="zh-CN"/>
              </w:rPr>
              <w:t>5</w:t>
            </w:r>
            <w:r>
              <w:rPr>
                <w:color w:val="auto"/>
                <w:sz w:val="24"/>
                <w:highlight w:val="none"/>
              </w:rPr>
              <w:t>万m</w:t>
            </w:r>
            <w:r>
              <w:rPr>
                <w:rFonts w:hint="eastAsia"/>
                <w:color w:val="auto"/>
                <w:sz w:val="24"/>
                <w:highlight w:val="none"/>
                <w:vertAlign w:val="superscript"/>
              </w:rPr>
              <w:t>3</w:t>
            </w:r>
            <w:r>
              <w:rPr>
                <w:color w:val="auto"/>
                <w:sz w:val="24"/>
                <w:highlight w:val="none"/>
              </w:rPr>
              <w:t>、商品混凝土</w:t>
            </w:r>
            <w:r>
              <w:rPr>
                <w:rFonts w:hint="eastAsia"/>
                <w:color w:val="auto"/>
                <w:sz w:val="24"/>
                <w:highlight w:val="none"/>
                <w:lang w:val="en-US" w:eastAsia="zh-CN"/>
              </w:rPr>
              <w:t>95</w:t>
            </w:r>
            <w:r>
              <w:rPr>
                <w:color w:val="auto"/>
                <w:sz w:val="24"/>
                <w:highlight w:val="none"/>
              </w:rPr>
              <w:t>万m</w:t>
            </w:r>
            <w:r>
              <w:rPr>
                <w:color w:val="auto"/>
                <w:sz w:val="24"/>
                <w:highlight w:val="none"/>
                <w:vertAlign w:val="superscript"/>
              </w:rPr>
              <w:t>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olor w:val="auto"/>
                <w:sz w:val="24"/>
                <w:highlight w:val="none"/>
                <w:vertAlign w:val="baseline"/>
                <w:lang w:val="en-US" w:eastAsia="zh-CN"/>
              </w:rPr>
              <w:t>新增1座危废暂存间（10m</w:t>
            </w:r>
            <w:r>
              <w:rPr>
                <w:rFonts w:hint="eastAsia"/>
                <w:color w:val="auto"/>
                <w:sz w:val="24"/>
                <w:highlight w:val="none"/>
                <w:vertAlign w:val="superscript"/>
                <w:lang w:val="en-US" w:eastAsia="zh-CN"/>
              </w:rPr>
              <w:t>2</w:t>
            </w:r>
            <w:r>
              <w:rPr>
                <w:rFonts w:hint="eastAsia"/>
                <w:color w:val="auto"/>
                <w:sz w:val="24"/>
                <w:highlight w:val="none"/>
                <w:vertAlign w:val="baseline"/>
                <w:lang w:val="en-US" w:eastAsia="zh-CN"/>
              </w:rPr>
              <w:t>），2台4t/h的天然气锅炉，</w:t>
            </w:r>
            <w:r>
              <w:rPr>
                <w:rFonts w:hint="eastAsia" w:ascii="Times New Roman" w:hAnsi="Times New Roman" w:eastAsia="宋体" w:cs="Times New Roman"/>
                <w:color w:val="auto"/>
                <w:sz w:val="24"/>
                <w:highlight w:val="none"/>
              </w:rPr>
              <w:t>用于蒸汽养护</w:t>
            </w:r>
            <w:r>
              <w:rPr>
                <w:rFonts w:hint="eastAsia" w:cs="Times New Roman"/>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kern w:val="0"/>
                <w:sz w:val="24"/>
                <w:szCs w:val="24"/>
                <w:highlight w:val="none"/>
                <w:shd w:val="clear" w:color="auto" w:fill="FFFFFF"/>
                <w:lang w:val="en-US" w:eastAsia="zh-CN" w:bidi="ar-SA"/>
              </w:rPr>
            </w:pPr>
            <w:r>
              <w:rPr>
                <w:rFonts w:hint="default" w:ascii="Times New Roman" w:hAnsi="Times New Roman" w:eastAsia="宋体" w:cs="Times New Roman"/>
                <w:b/>
                <w:bCs/>
                <w:kern w:val="0"/>
                <w:sz w:val="24"/>
                <w:szCs w:val="24"/>
                <w:highlight w:val="none"/>
                <w:shd w:val="clear" w:color="auto" w:fill="FFFFFF"/>
                <w:lang w:val="en-US" w:eastAsia="zh-CN" w:bidi="ar-SA"/>
              </w:rPr>
              <w:t>本项目变动后实际情况：</w:t>
            </w:r>
            <w:r>
              <w:rPr>
                <w:rFonts w:hint="default" w:ascii="Times New Roman" w:hAnsi="Times New Roman" w:eastAsia="宋体" w:cs="Times New Roman"/>
                <w:b w:val="0"/>
                <w:bCs w:val="0"/>
                <w:kern w:val="0"/>
                <w:sz w:val="24"/>
                <w:szCs w:val="24"/>
                <w:highlight w:val="none"/>
                <w:shd w:val="clear" w:color="auto" w:fill="FFFFFF"/>
                <w:lang w:val="en-US" w:eastAsia="zh-CN" w:bidi="ar-SA"/>
              </w:rPr>
              <w:t>建成</w:t>
            </w:r>
            <w:r>
              <w:rPr>
                <w:rFonts w:hint="eastAsia"/>
                <w:color w:val="auto"/>
                <w:sz w:val="24"/>
                <w:highlight w:val="none"/>
                <w:lang w:val="en-US" w:eastAsia="zh-CN"/>
              </w:rPr>
              <w:t>年产100</w:t>
            </w:r>
            <w:r>
              <w:rPr>
                <w:color w:val="auto"/>
                <w:sz w:val="24"/>
                <w:highlight w:val="none"/>
              </w:rPr>
              <w:t>万m</w:t>
            </w:r>
            <w:r>
              <w:rPr>
                <w:color w:val="auto"/>
                <w:sz w:val="24"/>
                <w:highlight w:val="none"/>
                <w:vertAlign w:val="superscript"/>
              </w:rPr>
              <w:t>2</w:t>
            </w:r>
            <w:r>
              <w:rPr>
                <w:rFonts w:hint="eastAsia"/>
                <w:color w:val="auto"/>
                <w:sz w:val="24"/>
                <w:highlight w:val="none"/>
              </w:rPr>
              <w:t>复合免拆保温模板</w:t>
            </w:r>
            <w:r>
              <w:rPr>
                <w:color w:val="auto"/>
                <w:sz w:val="24"/>
                <w:highlight w:val="none"/>
              </w:rPr>
              <w:t>、</w:t>
            </w:r>
            <w:r>
              <w:rPr>
                <w:rFonts w:hint="eastAsia"/>
                <w:color w:val="auto"/>
                <w:sz w:val="24"/>
                <w:highlight w:val="none"/>
                <w:lang w:val="en-US" w:eastAsia="zh-CN"/>
              </w:rPr>
              <w:t>100</w:t>
            </w:r>
            <w:r>
              <w:rPr>
                <w:color w:val="auto"/>
                <w:sz w:val="24"/>
                <w:highlight w:val="none"/>
              </w:rPr>
              <w:t>万m</w:t>
            </w:r>
            <w:r>
              <w:rPr>
                <w:color w:val="auto"/>
                <w:sz w:val="24"/>
                <w:highlight w:val="none"/>
                <w:vertAlign w:val="superscript"/>
              </w:rPr>
              <w:t>2</w:t>
            </w:r>
            <w:r>
              <w:rPr>
                <w:color w:val="auto"/>
                <w:sz w:val="24"/>
                <w:highlight w:val="none"/>
              </w:rPr>
              <w:t>叠合楼板、PC构件</w:t>
            </w:r>
            <w:r>
              <w:rPr>
                <w:rFonts w:hint="eastAsia"/>
                <w:color w:val="auto"/>
                <w:sz w:val="24"/>
                <w:highlight w:val="none"/>
                <w:lang w:val="en-US" w:eastAsia="zh-CN"/>
              </w:rPr>
              <w:t>5</w:t>
            </w:r>
            <w:r>
              <w:rPr>
                <w:color w:val="auto"/>
                <w:sz w:val="24"/>
                <w:highlight w:val="none"/>
              </w:rPr>
              <w:t>万m</w:t>
            </w:r>
            <w:r>
              <w:rPr>
                <w:rFonts w:hint="eastAsia"/>
                <w:color w:val="auto"/>
                <w:sz w:val="24"/>
                <w:highlight w:val="none"/>
                <w:vertAlign w:val="superscript"/>
              </w:rPr>
              <w:t>3</w:t>
            </w:r>
            <w:r>
              <w:rPr>
                <w:color w:val="auto"/>
                <w:sz w:val="24"/>
                <w:highlight w:val="none"/>
              </w:rPr>
              <w:t>、商品混凝土</w:t>
            </w:r>
            <w:r>
              <w:rPr>
                <w:rFonts w:hint="eastAsia"/>
                <w:color w:val="auto"/>
                <w:sz w:val="24"/>
                <w:highlight w:val="none"/>
                <w:lang w:val="en-US" w:eastAsia="zh-CN"/>
              </w:rPr>
              <w:t>95</w:t>
            </w:r>
            <w:r>
              <w:rPr>
                <w:color w:val="auto"/>
                <w:sz w:val="24"/>
                <w:highlight w:val="none"/>
              </w:rPr>
              <w:t>万m</w:t>
            </w:r>
            <w:r>
              <w:rPr>
                <w:color w:val="auto"/>
                <w:sz w:val="24"/>
                <w:highlight w:val="none"/>
                <w:vertAlign w:val="superscript"/>
              </w:rPr>
              <w:t>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olor w:val="auto"/>
                <w:sz w:val="24"/>
                <w:highlight w:val="none"/>
                <w:vertAlign w:val="baseline"/>
                <w:lang w:val="en-US" w:eastAsia="zh-CN"/>
              </w:rPr>
              <w:t>新增1座危废暂存间（10m</w:t>
            </w:r>
            <w:r>
              <w:rPr>
                <w:rFonts w:hint="eastAsia"/>
                <w:color w:val="auto"/>
                <w:sz w:val="24"/>
                <w:highlight w:val="none"/>
                <w:vertAlign w:val="superscript"/>
                <w:lang w:val="en-US" w:eastAsia="zh-CN"/>
              </w:rPr>
              <w:t>2</w:t>
            </w:r>
            <w:r>
              <w:rPr>
                <w:rFonts w:hint="eastAsia"/>
                <w:color w:val="auto"/>
                <w:sz w:val="24"/>
                <w:highlight w:val="none"/>
                <w:vertAlign w:val="baseline"/>
                <w:lang w:val="en-US" w:eastAsia="zh-CN"/>
              </w:rPr>
              <w:t>），未建设2台4t/h天然气锅炉</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bCs/>
                <w:kern w:val="0"/>
                <w:sz w:val="24"/>
                <w:szCs w:val="24"/>
                <w:highlight w:val="none"/>
                <w:shd w:val="clear" w:color="auto" w:fill="FFFFFF"/>
                <w:lang w:val="en-US" w:eastAsia="zh-CN" w:bidi="ar-SA"/>
              </w:rPr>
            </w:pPr>
            <w:r>
              <w:rPr>
                <w:rFonts w:hint="default" w:ascii="Times New Roman" w:hAnsi="Times New Roman" w:eastAsia="宋体" w:cs="Times New Roman"/>
                <w:b w:val="0"/>
                <w:color w:val="auto"/>
                <w:kern w:val="0"/>
                <w:sz w:val="24"/>
                <w:szCs w:val="24"/>
                <w:shd w:val="clear" w:color="auto" w:fill="FFFFFF"/>
                <w:lang w:val="en-US" w:eastAsia="zh-CN" w:bidi="ar-SA"/>
              </w:rPr>
              <w:t>对比《关于印发环评管理中部分行业建设项目重大变动清单的通知》（环办</w:t>
            </w:r>
            <w:r>
              <w:rPr>
                <w:rFonts w:hint="eastAsia" w:ascii="Times New Roman" w:hAnsi="Times New Roman" w:eastAsia="宋体" w:cs="Times New Roman"/>
                <w:b w:val="0"/>
                <w:color w:val="auto"/>
                <w:kern w:val="0"/>
                <w:sz w:val="24"/>
                <w:szCs w:val="24"/>
                <w:shd w:val="clear" w:color="auto" w:fill="FFFFFF"/>
                <w:lang w:val="en-US" w:eastAsia="zh-CN" w:bidi="ar-SA"/>
              </w:rPr>
              <w:t>〔</w:t>
            </w:r>
            <w:r>
              <w:rPr>
                <w:rFonts w:hint="default" w:ascii="Times New Roman" w:hAnsi="Times New Roman" w:eastAsia="宋体" w:cs="Times New Roman"/>
                <w:b w:val="0"/>
                <w:color w:val="auto"/>
                <w:kern w:val="0"/>
                <w:sz w:val="24"/>
                <w:szCs w:val="24"/>
                <w:shd w:val="clear" w:color="auto" w:fill="FFFFFF"/>
                <w:lang w:val="en-US" w:eastAsia="zh-CN" w:bidi="ar-SA"/>
              </w:rPr>
              <w:t>2015</w:t>
            </w:r>
            <w:r>
              <w:rPr>
                <w:rFonts w:hint="eastAsia" w:ascii="Times New Roman" w:hAnsi="Times New Roman" w:eastAsia="宋体" w:cs="Times New Roman"/>
                <w:b w:val="0"/>
                <w:color w:val="auto"/>
                <w:kern w:val="0"/>
                <w:sz w:val="24"/>
                <w:szCs w:val="24"/>
                <w:shd w:val="clear" w:color="auto" w:fill="FFFFFF"/>
                <w:lang w:val="en-US" w:eastAsia="zh-CN" w:bidi="ar-SA"/>
              </w:rPr>
              <w:t>〕</w:t>
            </w:r>
            <w:r>
              <w:rPr>
                <w:rFonts w:hint="default" w:ascii="Times New Roman" w:hAnsi="Times New Roman" w:eastAsia="宋体" w:cs="Times New Roman"/>
                <w:b w:val="0"/>
                <w:color w:val="auto"/>
                <w:kern w:val="0"/>
                <w:sz w:val="24"/>
                <w:szCs w:val="24"/>
                <w:shd w:val="clear" w:color="auto" w:fill="FFFFFF"/>
                <w:lang w:val="en-US" w:eastAsia="zh-CN" w:bidi="ar-SA"/>
              </w:rPr>
              <w:t>52号）、关于印发《污染影响建设项目重大变动清单（试行的通知）》（环办环评函〔2020〕688号，生态环境部办公厅）以及</w:t>
            </w:r>
            <w:r>
              <w:rPr>
                <w:rFonts w:hint="eastAsia" w:ascii="Times New Roman" w:hAnsi="Times New Roman" w:eastAsia="宋体" w:cs="Times New Roman"/>
                <w:b w:val="0"/>
                <w:color w:val="auto"/>
                <w:kern w:val="0"/>
                <w:sz w:val="24"/>
                <w:szCs w:val="24"/>
                <w:shd w:val="clear" w:color="auto" w:fill="FFFFFF"/>
                <w:lang w:val="en-US" w:eastAsia="zh-CN" w:bidi="ar-SA"/>
              </w:rPr>
              <w:t>《</w:t>
            </w:r>
            <w:r>
              <w:rPr>
                <w:rFonts w:hint="default" w:ascii="Times New Roman" w:hAnsi="Times New Roman" w:eastAsia="宋体" w:cs="Times New Roman"/>
                <w:b w:val="0"/>
                <w:color w:val="auto"/>
                <w:kern w:val="0"/>
                <w:sz w:val="24"/>
                <w:szCs w:val="24"/>
                <w:shd w:val="clear" w:color="auto" w:fill="FFFFFF"/>
                <w:lang w:val="en-US" w:eastAsia="zh-CN" w:bidi="ar-SA"/>
              </w:rPr>
              <w:t>关于印发新疆维吾尔自治区环境影响评价管理中建设项目重大变动界定程序规定的通知</w:t>
            </w:r>
            <w:r>
              <w:rPr>
                <w:rFonts w:hint="eastAsia" w:ascii="Times New Roman" w:hAnsi="Times New Roman" w:eastAsia="宋体" w:cs="Times New Roman"/>
                <w:b w:val="0"/>
                <w:color w:val="auto"/>
                <w:kern w:val="0"/>
                <w:sz w:val="24"/>
                <w:szCs w:val="24"/>
                <w:shd w:val="clear" w:color="auto" w:fill="FFFFFF"/>
                <w:lang w:val="en-US" w:eastAsia="zh-CN" w:bidi="ar-SA"/>
              </w:rPr>
              <w:t>》</w:t>
            </w:r>
            <w:r>
              <w:rPr>
                <w:rFonts w:hint="default" w:ascii="Times New Roman" w:hAnsi="Times New Roman" w:eastAsia="宋体" w:cs="Times New Roman"/>
                <w:b w:val="0"/>
                <w:color w:val="auto"/>
                <w:kern w:val="0"/>
                <w:sz w:val="24"/>
                <w:szCs w:val="24"/>
                <w:shd w:val="clear" w:color="auto" w:fill="FFFFFF"/>
                <w:lang w:val="en-US" w:eastAsia="zh-CN" w:bidi="ar-SA"/>
              </w:rPr>
              <w:t>（新环环评发</w:t>
            </w:r>
            <w:r>
              <w:rPr>
                <w:rFonts w:hint="eastAsia" w:ascii="Times New Roman" w:hAnsi="Times New Roman" w:eastAsia="宋体" w:cs="Times New Roman"/>
                <w:b w:val="0"/>
                <w:color w:val="auto"/>
                <w:kern w:val="0"/>
                <w:sz w:val="24"/>
                <w:szCs w:val="24"/>
                <w:shd w:val="clear" w:color="auto" w:fill="FFFFFF"/>
                <w:lang w:val="en-US" w:eastAsia="zh-CN" w:bidi="ar-SA"/>
              </w:rPr>
              <w:t>〔</w:t>
            </w:r>
            <w:r>
              <w:rPr>
                <w:rFonts w:hint="default" w:ascii="Times New Roman" w:hAnsi="Times New Roman" w:eastAsia="宋体" w:cs="Times New Roman"/>
                <w:b w:val="0"/>
                <w:color w:val="auto"/>
                <w:kern w:val="0"/>
                <w:sz w:val="24"/>
                <w:szCs w:val="24"/>
                <w:shd w:val="clear" w:color="auto" w:fill="FFFFFF"/>
                <w:lang w:val="en-US" w:eastAsia="zh-CN" w:bidi="ar-SA"/>
              </w:rPr>
              <w:t>2019</w:t>
            </w:r>
            <w:r>
              <w:rPr>
                <w:rFonts w:hint="eastAsia" w:ascii="Times New Roman" w:hAnsi="Times New Roman" w:eastAsia="宋体" w:cs="Times New Roman"/>
                <w:b w:val="0"/>
                <w:color w:val="auto"/>
                <w:kern w:val="0"/>
                <w:sz w:val="24"/>
                <w:szCs w:val="24"/>
                <w:shd w:val="clear" w:color="auto" w:fill="FFFFFF"/>
                <w:lang w:val="en-US" w:eastAsia="zh-CN" w:bidi="ar-SA"/>
              </w:rPr>
              <w:t>〕</w:t>
            </w:r>
            <w:r>
              <w:rPr>
                <w:rFonts w:hint="default" w:ascii="Times New Roman" w:hAnsi="Times New Roman" w:eastAsia="宋体" w:cs="Times New Roman"/>
                <w:b w:val="0"/>
                <w:color w:val="auto"/>
                <w:kern w:val="0"/>
                <w:sz w:val="24"/>
                <w:szCs w:val="24"/>
                <w:shd w:val="clear" w:color="auto" w:fill="FFFFFF"/>
                <w:lang w:val="en-US" w:eastAsia="zh-CN" w:bidi="ar-SA"/>
              </w:rPr>
              <w:t>140号）文件，项目的性质、规模、地点、工艺、防治污染、防止生态破坏的措施</w:t>
            </w:r>
            <w:r>
              <w:rPr>
                <w:rFonts w:hint="eastAsia" w:cs="Times New Roman"/>
                <w:b w:val="0"/>
                <w:color w:val="auto"/>
                <w:kern w:val="0"/>
                <w:sz w:val="24"/>
                <w:szCs w:val="24"/>
                <w:shd w:val="clear" w:color="auto" w:fill="FFFFFF"/>
                <w:lang w:val="en-US" w:eastAsia="zh-CN" w:bidi="ar-SA"/>
              </w:rPr>
              <w:t>不涉及</w:t>
            </w:r>
            <w:r>
              <w:rPr>
                <w:rFonts w:hint="default" w:ascii="Times New Roman" w:hAnsi="Times New Roman" w:eastAsia="宋体" w:cs="Times New Roman"/>
                <w:b w:val="0"/>
                <w:color w:val="auto"/>
                <w:kern w:val="0"/>
                <w:sz w:val="24"/>
                <w:szCs w:val="24"/>
                <w:shd w:val="clear" w:color="auto" w:fill="FFFFFF"/>
                <w:lang w:val="en-US" w:eastAsia="zh-CN" w:bidi="ar-SA"/>
              </w:rPr>
              <w:t>重大变动。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3.5主要能源及原料消耗情况</w:t>
            </w:r>
          </w:p>
          <w:p>
            <w:pPr>
              <w:pStyle w:val="7"/>
              <w:keepNext w:val="0"/>
              <w:keepLines w:val="0"/>
              <w:pageBreakBefore w:val="0"/>
              <w:widowControl w:val="0"/>
              <w:kinsoku w:val="0"/>
              <w:wordWrap/>
              <w:overflowPunct w:val="0"/>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sz w:val="24"/>
                <w:highlight w:val="none"/>
                <w:lang w:val="en-US" w:eastAsia="zh-CN"/>
              </w:rPr>
              <w:t>本项目原料消耗情况详见表3.4-1。</w:t>
            </w:r>
          </w:p>
          <w:p>
            <w:pPr>
              <w:pStyle w:val="43"/>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val="0"/>
                <w:sz w:val="24"/>
                <w:szCs w:val="24"/>
                <w:highlight w:val="none"/>
                <w:lang w:val="en-US" w:eastAsia="zh-CN"/>
              </w:rPr>
            </w:pPr>
            <w:r>
              <w:rPr>
                <w:rFonts w:hint="default" w:ascii="Times New Roman" w:hAnsi="Times New Roman" w:eastAsia="宋体" w:cs="Times New Roman"/>
                <w:b/>
                <w:bCs w:val="0"/>
                <w:sz w:val="24"/>
                <w:szCs w:val="24"/>
                <w:highlight w:val="none"/>
                <w:lang w:val="en-US" w:eastAsia="zh-CN"/>
              </w:rPr>
              <w:t>表3.5-1主要</w:t>
            </w:r>
            <w:r>
              <w:rPr>
                <w:rFonts w:hint="default" w:ascii="Times New Roman" w:hAnsi="Times New Roman" w:eastAsia="宋体" w:cs="Times New Roman"/>
                <w:b/>
                <w:bCs w:val="0"/>
                <w:sz w:val="24"/>
                <w:highlight w:val="none"/>
                <w:lang w:val="en-US" w:eastAsia="zh-CN"/>
              </w:rPr>
              <w:t>原料</w:t>
            </w:r>
            <w:r>
              <w:rPr>
                <w:rFonts w:hint="default" w:ascii="Times New Roman" w:hAnsi="Times New Roman" w:eastAsia="宋体" w:cs="Times New Roman"/>
                <w:b/>
                <w:bCs w:val="0"/>
                <w:sz w:val="24"/>
                <w:szCs w:val="24"/>
                <w:highlight w:val="none"/>
                <w:lang w:val="en-US" w:eastAsia="zh-CN"/>
              </w:rPr>
              <w:t>消耗情况</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245"/>
              <w:gridCol w:w="1176"/>
              <w:gridCol w:w="1421"/>
              <w:gridCol w:w="883"/>
              <w:gridCol w:w="173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4" w:hRule="atLeast"/>
                <w:jc w:val="center"/>
              </w:trPr>
              <w:tc>
                <w:tcPr>
                  <w:tcW w:w="696" w:type="pct"/>
                  <w:shd w:val="clear" w:color="auto" w:fill="auto"/>
                  <w:vAlign w:val="center"/>
                </w:tcPr>
                <w:p>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序号</w:t>
                  </w:r>
                </w:p>
              </w:tc>
              <w:tc>
                <w:tcPr>
                  <w:tcW w:w="1453" w:type="pct"/>
                  <w:gridSpan w:val="2"/>
                  <w:shd w:val="clear" w:color="auto" w:fill="auto"/>
                  <w:vAlign w:val="center"/>
                </w:tcPr>
                <w:p>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名称</w:t>
                  </w:r>
                </w:p>
              </w:tc>
              <w:tc>
                <w:tcPr>
                  <w:tcW w:w="494" w:type="pct"/>
                  <w:shd w:val="clear" w:color="auto" w:fill="auto"/>
                  <w:vAlign w:val="center"/>
                </w:tcPr>
                <w:p>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单位</w:t>
                  </w:r>
                </w:p>
              </w:tc>
              <w:tc>
                <w:tcPr>
                  <w:tcW w:w="968" w:type="pct"/>
                  <w:shd w:val="clear" w:color="auto" w:fill="auto"/>
                  <w:vAlign w:val="center"/>
                </w:tcPr>
                <w:p>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环评阶段用量</w:t>
                  </w:r>
                </w:p>
              </w:tc>
              <w:tc>
                <w:tcPr>
                  <w:tcW w:w="1386" w:type="pct"/>
                  <w:shd w:val="clear" w:color="auto" w:fill="auto"/>
                  <w:vAlign w:val="center"/>
                </w:tcPr>
                <w:p>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验收阶段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4" w:hRule="atLeast"/>
                <w:jc w:val="center"/>
              </w:trPr>
              <w:tc>
                <w:tcPr>
                  <w:tcW w:w="5000" w:type="pct"/>
                  <w:gridSpan w:val="6"/>
                  <w:shd w:val="clear" w:color="auto" w:fill="auto"/>
                  <w:vAlign w:val="center"/>
                </w:tcPr>
                <w:p>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免拆模板复合保温墙板、叠合楼板、PC构件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96" w:type="pct"/>
                  <w:shd w:val="clear" w:color="auto" w:fill="auto"/>
                  <w:vAlign w:val="center"/>
                </w:tcPr>
                <w:p>
                  <w:pPr>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1453" w:type="pct"/>
                  <w:gridSpan w:val="2"/>
                  <w:shd w:val="clear" w:color="auto" w:fill="auto"/>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snapToGrid/>
                      <w:color w:val="auto"/>
                      <w:kern w:val="2"/>
                      <w:sz w:val="24"/>
                      <w:szCs w:val="24"/>
                      <w:lang w:val="en-US" w:eastAsia="zh-CN" w:bidi="ar-SA"/>
                    </w:rPr>
                    <w:t>XPS板</w:t>
                  </w:r>
                </w:p>
              </w:tc>
              <w:tc>
                <w:tcPr>
                  <w:tcW w:w="494" w:type="pct"/>
                  <w:shd w:val="clear" w:color="auto" w:fill="auto"/>
                  <w:vAlign w:val="center"/>
                </w:tcPr>
                <w:p>
                  <w:pPr>
                    <w:bidi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t/a</w:t>
                  </w:r>
                </w:p>
              </w:tc>
              <w:tc>
                <w:tcPr>
                  <w:tcW w:w="1730" w:type="dxa"/>
                  <w:shd w:val="clear" w:color="auto" w:fill="auto"/>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snapToGrid/>
                      <w:color w:val="auto"/>
                      <w:kern w:val="2"/>
                      <w:sz w:val="24"/>
                      <w:szCs w:val="24"/>
                      <w:lang w:val="en-US" w:eastAsia="zh-CN" w:bidi="ar-SA"/>
                    </w:rPr>
                    <w:t>4400</w:t>
                  </w:r>
                </w:p>
              </w:tc>
              <w:tc>
                <w:tcPr>
                  <w:tcW w:w="1386" w:type="pct"/>
                  <w:shd w:val="clear" w:color="auto" w:fill="auto"/>
                  <w:vAlign w:val="center"/>
                </w:tcPr>
                <w:p>
                  <w:pPr>
                    <w:bidi w:val="0"/>
                    <w:jc w:val="center"/>
                    <w:rPr>
                      <w:rFonts w:hint="default" w:ascii="Times New Roman" w:hAnsi="Times New Roman" w:eastAsia="宋体"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4" w:hRule="atLeast"/>
                <w:jc w:val="center"/>
              </w:trPr>
              <w:tc>
                <w:tcPr>
                  <w:tcW w:w="696" w:type="pct"/>
                  <w:shd w:val="clear" w:color="auto" w:fill="auto"/>
                  <w:vAlign w:val="center"/>
                </w:tcPr>
                <w:p>
                  <w:pPr>
                    <w:bidi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p>
              </w:tc>
              <w:tc>
                <w:tcPr>
                  <w:tcW w:w="1453" w:type="pct"/>
                  <w:gridSpan w:val="2"/>
                  <w:shd w:val="clear" w:color="auto" w:fill="auto"/>
                  <w:vAlign w:val="center"/>
                </w:tcPr>
                <w:p>
                  <w:pPr>
                    <w:pStyle w:val="54"/>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snapToGrid/>
                      <w:color w:val="auto"/>
                      <w:kern w:val="2"/>
                      <w:sz w:val="24"/>
                      <w:szCs w:val="24"/>
                      <w:lang w:val="en-US" w:eastAsia="zh-CN" w:bidi="ar-SA"/>
                    </w:rPr>
                    <w:t>耐碱玻纤网</w:t>
                  </w:r>
                </w:p>
              </w:tc>
              <w:tc>
                <w:tcPr>
                  <w:tcW w:w="494" w:type="pct"/>
                  <w:shd w:val="clear" w:color="auto" w:fill="auto"/>
                  <w:vAlign w:val="center"/>
                </w:tcPr>
                <w:p>
                  <w:pPr>
                    <w:bidi w:val="0"/>
                    <w:jc w:val="center"/>
                    <w:rPr>
                      <w:rFonts w:hint="default" w:ascii="Times New Roman" w:hAnsi="Times New Roman" w:eastAsia="宋体" w:cs="Times New Roman"/>
                      <w:color w:val="auto"/>
                      <w:sz w:val="24"/>
                      <w:szCs w:val="24"/>
                      <w:lang w:val="en-US" w:eastAsia="zh-CN"/>
                    </w:rPr>
                  </w:pPr>
                  <w:r>
                    <w:rPr>
                      <w:color w:val="auto"/>
                      <w:sz w:val="24"/>
                      <w:szCs w:val="24"/>
                    </w:rPr>
                    <w:t>t/a</w:t>
                  </w:r>
                </w:p>
              </w:tc>
              <w:tc>
                <w:tcPr>
                  <w:tcW w:w="1730" w:type="dxa"/>
                  <w:shd w:val="clear" w:color="auto" w:fill="auto"/>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snapToGrid/>
                      <w:color w:val="auto"/>
                      <w:kern w:val="2"/>
                      <w:sz w:val="24"/>
                      <w:szCs w:val="24"/>
                      <w:lang w:val="en-US" w:eastAsia="zh-CN" w:bidi="ar-SA"/>
                    </w:rPr>
                    <w:t>52</w:t>
                  </w:r>
                </w:p>
              </w:tc>
              <w:tc>
                <w:tcPr>
                  <w:tcW w:w="1386" w:type="pct"/>
                  <w:shd w:val="clear" w:color="auto" w:fill="auto"/>
                  <w:vAlign w:val="center"/>
                </w:tcPr>
                <w:p>
                  <w:pPr>
                    <w:bidi w:val="0"/>
                    <w:jc w:val="center"/>
                    <w:rPr>
                      <w:rFonts w:hint="default" w:ascii="Times New Roman" w:hAnsi="Times New Roman" w:eastAsia="宋体"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96" w:type="pct"/>
                  <w:shd w:val="clear" w:color="auto" w:fill="auto"/>
                  <w:vAlign w:val="center"/>
                </w:tcPr>
                <w:p>
                  <w:pPr>
                    <w:bidi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w:t>
                  </w:r>
                </w:p>
              </w:tc>
              <w:tc>
                <w:tcPr>
                  <w:tcW w:w="1453" w:type="pct"/>
                  <w:gridSpan w:val="2"/>
                  <w:shd w:val="clear" w:color="auto" w:fill="auto"/>
                  <w:vAlign w:val="center"/>
                </w:tcPr>
                <w:p>
                  <w:pPr>
                    <w:pStyle w:val="54"/>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snapToGrid/>
                      <w:color w:val="auto"/>
                      <w:kern w:val="2"/>
                      <w:sz w:val="24"/>
                      <w:szCs w:val="24"/>
                      <w:lang w:val="en-US" w:eastAsia="zh-CN" w:bidi="ar-SA"/>
                    </w:rPr>
                    <w:t>聚合物水泥砂浆</w:t>
                  </w:r>
                </w:p>
              </w:tc>
              <w:tc>
                <w:tcPr>
                  <w:tcW w:w="494" w:type="pct"/>
                  <w:shd w:val="clear" w:color="auto" w:fill="auto"/>
                  <w:vAlign w:val="center"/>
                </w:tcPr>
                <w:p>
                  <w:pPr>
                    <w:bidi w:val="0"/>
                    <w:jc w:val="center"/>
                    <w:rPr>
                      <w:rFonts w:hint="default" w:ascii="Times New Roman" w:hAnsi="Times New Roman" w:eastAsia="宋体" w:cs="Times New Roman"/>
                      <w:color w:val="auto"/>
                      <w:sz w:val="24"/>
                      <w:szCs w:val="24"/>
                      <w:lang w:val="en-US" w:eastAsia="zh-CN"/>
                    </w:rPr>
                  </w:pPr>
                  <w:r>
                    <w:rPr>
                      <w:color w:val="auto"/>
                      <w:sz w:val="24"/>
                      <w:szCs w:val="24"/>
                    </w:rPr>
                    <w:t>t/a</w:t>
                  </w:r>
                </w:p>
              </w:tc>
              <w:tc>
                <w:tcPr>
                  <w:tcW w:w="1730" w:type="dxa"/>
                  <w:shd w:val="clear" w:color="auto" w:fill="auto"/>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snapToGrid/>
                      <w:color w:val="auto"/>
                      <w:kern w:val="2"/>
                      <w:sz w:val="24"/>
                      <w:szCs w:val="24"/>
                      <w:lang w:val="en-US" w:eastAsia="zh-CN" w:bidi="ar-SA"/>
                    </w:rPr>
                    <w:t>10000</w:t>
                  </w:r>
                </w:p>
              </w:tc>
              <w:tc>
                <w:tcPr>
                  <w:tcW w:w="1386" w:type="pct"/>
                  <w:shd w:val="clear" w:color="auto" w:fill="auto"/>
                  <w:vAlign w:val="center"/>
                </w:tcPr>
                <w:p>
                  <w:pPr>
                    <w:bidi w:val="0"/>
                    <w:jc w:val="center"/>
                    <w:rPr>
                      <w:rFonts w:hint="default" w:ascii="Times New Roman" w:hAnsi="Times New Roman" w:eastAsia="宋体"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96" w:type="pct"/>
                  <w:shd w:val="clear" w:color="auto" w:fill="auto"/>
                  <w:vAlign w:val="center"/>
                </w:tcPr>
                <w:p>
                  <w:pPr>
                    <w:bidi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w:t>
                  </w:r>
                </w:p>
              </w:tc>
              <w:tc>
                <w:tcPr>
                  <w:tcW w:w="1453" w:type="pct"/>
                  <w:gridSpan w:val="2"/>
                  <w:shd w:val="clear" w:color="auto" w:fill="auto"/>
                  <w:vAlign w:val="center"/>
                </w:tcPr>
                <w:p>
                  <w:pPr>
                    <w:pStyle w:val="54"/>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snapToGrid/>
                      <w:color w:val="auto"/>
                      <w:kern w:val="2"/>
                      <w:sz w:val="24"/>
                      <w:szCs w:val="24"/>
                      <w:lang w:val="en-US" w:eastAsia="zh-CN" w:bidi="ar-SA"/>
                    </w:rPr>
                    <w:t>保温砂浆</w:t>
                  </w:r>
                </w:p>
              </w:tc>
              <w:tc>
                <w:tcPr>
                  <w:tcW w:w="494" w:type="pct"/>
                  <w:shd w:val="clear" w:color="auto" w:fill="auto"/>
                  <w:vAlign w:val="center"/>
                </w:tcPr>
                <w:p>
                  <w:pPr>
                    <w:bidi w:val="0"/>
                    <w:jc w:val="center"/>
                    <w:rPr>
                      <w:rFonts w:hint="default" w:ascii="Times New Roman" w:hAnsi="Times New Roman" w:eastAsia="宋体" w:cs="Times New Roman"/>
                      <w:color w:val="auto"/>
                      <w:sz w:val="24"/>
                      <w:szCs w:val="24"/>
                      <w:lang w:val="en-US" w:eastAsia="zh-CN"/>
                    </w:rPr>
                  </w:pPr>
                  <w:r>
                    <w:rPr>
                      <w:color w:val="auto"/>
                      <w:sz w:val="24"/>
                      <w:szCs w:val="24"/>
                    </w:rPr>
                    <w:t>t/a</w:t>
                  </w:r>
                </w:p>
              </w:tc>
              <w:tc>
                <w:tcPr>
                  <w:tcW w:w="1730" w:type="dxa"/>
                  <w:shd w:val="clear" w:color="auto" w:fill="auto"/>
                  <w:vAlign w:val="center"/>
                </w:tcPr>
                <w:p>
                  <w:pPr>
                    <w:pStyle w:val="54"/>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snapToGrid/>
                      <w:color w:val="auto"/>
                      <w:kern w:val="2"/>
                      <w:sz w:val="24"/>
                      <w:szCs w:val="24"/>
                      <w:lang w:val="en-US" w:eastAsia="zh-CN" w:bidi="ar-SA"/>
                    </w:rPr>
                    <w:t>10000</w:t>
                  </w:r>
                </w:p>
              </w:tc>
              <w:tc>
                <w:tcPr>
                  <w:tcW w:w="1386" w:type="pct"/>
                  <w:shd w:val="clear" w:color="auto" w:fill="auto"/>
                  <w:vAlign w:val="center"/>
                </w:tcPr>
                <w:p>
                  <w:pPr>
                    <w:bidi w:val="0"/>
                    <w:jc w:val="center"/>
                    <w:rPr>
                      <w:rFonts w:hint="default" w:ascii="Times New Roman" w:hAnsi="Times New Roman" w:eastAsia="宋体"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96" w:type="pct"/>
                  <w:shd w:val="clear" w:color="auto" w:fill="auto"/>
                  <w:vAlign w:val="center"/>
                </w:tcPr>
                <w:p>
                  <w:pPr>
                    <w:bidi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w:t>
                  </w:r>
                </w:p>
              </w:tc>
              <w:tc>
                <w:tcPr>
                  <w:tcW w:w="658" w:type="pct"/>
                  <w:vMerge w:val="restart"/>
                  <w:shd w:val="clear" w:color="auto" w:fill="auto"/>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钢筋</w:t>
                  </w:r>
                </w:p>
              </w:tc>
              <w:tc>
                <w:tcPr>
                  <w:tcW w:w="795" w:type="pct"/>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contextualSpacing/>
                    <w:jc w:val="center"/>
                    <w:textAlignment w:val="auto"/>
                    <w:rPr>
                      <w:rFonts w:hint="default" w:ascii="Times New Roman" w:hAnsi="Times New Roman" w:eastAsia="宋体" w:cs="Times New Roman"/>
                      <w:color w:val="auto"/>
                      <w:lang w:val="en-US" w:eastAsia="zh-CN"/>
                    </w:rPr>
                  </w:pPr>
                  <w:r>
                    <w:rPr>
                      <w:rFonts w:hint="eastAsia"/>
                      <w:color w:val="auto"/>
                      <w:szCs w:val="21"/>
                    </w:rPr>
                    <w:t>钢筋网片</w:t>
                  </w:r>
                </w:p>
              </w:tc>
              <w:tc>
                <w:tcPr>
                  <w:tcW w:w="494" w:type="pct"/>
                  <w:shd w:val="clear" w:color="auto" w:fill="auto"/>
                  <w:vAlign w:val="center"/>
                </w:tcPr>
                <w:p>
                  <w:pPr>
                    <w:bidi w:val="0"/>
                    <w:jc w:val="center"/>
                    <w:rPr>
                      <w:rFonts w:hint="default" w:ascii="Times New Roman" w:hAnsi="Times New Roman" w:eastAsia="宋体" w:cs="Times New Roman"/>
                      <w:color w:val="auto"/>
                      <w:lang w:val="en-US" w:eastAsia="zh-CN"/>
                    </w:rPr>
                  </w:pPr>
                  <w:r>
                    <w:rPr>
                      <w:color w:val="auto"/>
                      <w:szCs w:val="21"/>
                    </w:rPr>
                    <w:t>t/a</w:t>
                  </w:r>
                </w:p>
              </w:tc>
              <w:tc>
                <w:tcPr>
                  <w:tcW w:w="1730" w:type="dxa"/>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contextualSpacing/>
                    <w:jc w:val="center"/>
                    <w:textAlignment w:val="auto"/>
                    <w:rPr>
                      <w:rFonts w:hint="default" w:ascii="Times New Roman" w:hAnsi="Times New Roman" w:eastAsia="宋体" w:cs="Times New Roman"/>
                      <w:color w:val="auto"/>
                      <w:lang w:val="en-US" w:eastAsia="zh-CN"/>
                    </w:rPr>
                  </w:pPr>
                  <w:r>
                    <w:rPr>
                      <w:rFonts w:hint="eastAsia"/>
                      <w:color w:val="auto"/>
                      <w:szCs w:val="21"/>
                    </w:rPr>
                    <w:t>1</w:t>
                  </w:r>
                  <w:r>
                    <w:rPr>
                      <w:rFonts w:hint="eastAsia"/>
                      <w:color w:val="auto"/>
                      <w:szCs w:val="21"/>
                      <w:lang w:val="en-US" w:eastAsia="zh-CN"/>
                    </w:rPr>
                    <w:t>2</w:t>
                  </w:r>
                  <w:r>
                    <w:rPr>
                      <w:rFonts w:hint="eastAsia"/>
                      <w:color w:val="auto"/>
                      <w:szCs w:val="21"/>
                    </w:rPr>
                    <w:t>000</w:t>
                  </w:r>
                </w:p>
              </w:tc>
              <w:tc>
                <w:tcPr>
                  <w:tcW w:w="1386" w:type="pct"/>
                  <w:shd w:val="clear" w:color="auto" w:fill="auto"/>
                  <w:vAlign w:val="center"/>
                </w:tcPr>
                <w:p>
                  <w:pPr>
                    <w:bidi w:val="0"/>
                    <w:jc w:val="center"/>
                    <w:rPr>
                      <w:rFonts w:hint="default" w:ascii="Times New Roman" w:hAnsi="Times New Roman" w:eastAsia="宋体"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4" w:hRule="atLeast"/>
                <w:jc w:val="center"/>
              </w:trPr>
              <w:tc>
                <w:tcPr>
                  <w:tcW w:w="696" w:type="pct"/>
                  <w:shd w:val="clear" w:color="auto" w:fill="auto"/>
                  <w:vAlign w:val="center"/>
                </w:tcPr>
                <w:p>
                  <w:pPr>
                    <w:bidi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w:t>
                  </w:r>
                </w:p>
              </w:tc>
              <w:tc>
                <w:tcPr>
                  <w:tcW w:w="658" w:type="pct"/>
                  <w:vMerge w:val="continue"/>
                  <w:shd w:val="clear" w:color="auto" w:fill="auto"/>
                  <w:vAlign w:val="center"/>
                </w:tcPr>
                <w:p>
                  <w:pPr>
                    <w:bidi w:val="0"/>
                    <w:jc w:val="center"/>
                    <w:rPr>
                      <w:rFonts w:hint="default" w:ascii="Times New Roman" w:hAnsi="Times New Roman" w:eastAsia="宋体" w:cs="Times New Roman"/>
                      <w:color w:val="auto"/>
                      <w:lang w:val="en-US" w:eastAsia="zh-CN"/>
                    </w:rPr>
                  </w:pPr>
                </w:p>
              </w:tc>
              <w:tc>
                <w:tcPr>
                  <w:tcW w:w="795" w:type="pct"/>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contextualSpacing/>
                    <w:jc w:val="center"/>
                    <w:textAlignment w:val="auto"/>
                    <w:rPr>
                      <w:rFonts w:hint="default" w:ascii="Times New Roman" w:hAnsi="Times New Roman" w:eastAsia="宋体" w:cs="Times New Roman"/>
                      <w:color w:val="auto"/>
                      <w:lang w:val="en-US" w:eastAsia="zh-CN"/>
                    </w:rPr>
                  </w:pPr>
                  <w:r>
                    <w:rPr>
                      <w:rFonts w:hint="eastAsia"/>
                      <w:color w:val="auto"/>
                      <w:szCs w:val="21"/>
                    </w:rPr>
                    <w:t>预埋件</w:t>
                  </w:r>
                </w:p>
              </w:tc>
              <w:tc>
                <w:tcPr>
                  <w:tcW w:w="494" w:type="pct"/>
                  <w:shd w:val="clear" w:color="auto" w:fill="auto"/>
                  <w:vAlign w:val="center"/>
                </w:tcPr>
                <w:p>
                  <w:pPr>
                    <w:bidi w:val="0"/>
                    <w:jc w:val="center"/>
                    <w:rPr>
                      <w:rFonts w:hint="default" w:ascii="Times New Roman" w:hAnsi="Times New Roman" w:eastAsia="宋体" w:cs="Times New Roman"/>
                      <w:color w:val="auto"/>
                      <w:lang w:val="en-US" w:eastAsia="zh-CN"/>
                    </w:rPr>
                  </w:pPr>
                  <w:r>
                    <w:rPr>
                      <w:color w:val="auto"/>
                      <w:szCs w:val="21"/>
                    </w:rPr>
                    <w:t>t/a</w:t>
                  </w:r>
                </w:p>
              </w:tc>
              <w:tc>
                <w:tcPr>
                  <w:tcW w:w="1730" w:type="dxa"/>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contextualSpacing/>
                    <w:jc w:val="center"/>
                    <w:textAlignment w:val="auto"/>
                    <w:rPr>
                      <w:rFonts w:hint="default" w:ascii="Times New Roman" w:hAnsi="Times New Roman" w:eastAsia="宋体" w:cs="Times New Roman"/>
                      <w:color w:val="auto"/>
                      <w:lang w:val="en-US" w:eastAsia="zh-CN"/>
                    </w:rPr>
                  </w:pPr>
                  <w:r>
                    <w:rPr>
                      <w:rFonts w:hint="eastAsia"/>
                      <w:color w:val="auto"/>
                      <w:szCs w:val="21"/>
                    </w:rPr>
                    <w:t>1</w:t>
                  </w:r>
                  <w:r>
                    <w:rPr>
                      <w:rFonts w:hint="eastAsia"/>
                      <w:color w:val="auto"/>
                      <w:szCs w:val="21"/>
                      <w:lang w:val="en-US" w:eastAsia="zh-CN"/>
                    </w:rPr>
                    <w:t>1</w:t>
                  </w:r>
                  <w:r>
                    <w:rPr>
                      <w:rFonts w:hint="eastAsia"/>
                      <w:color w:val="auto"/>
                      <w:szCs w:val="21"/>
                    </w:rPr>
                    <w:t>00</w:t>
                  </w:r>
                </w:p>
              </w:tc>
              <w:tc>
                <w:tcPr>
                  <w:tcW w:w="1386" w:type="pct"/>
                  <w:shd w:val="clear" w:color="auto" w:fill="auto"/>
                  <w:vAlign w:val="center"/>
                </w:tcPr>
                <w:p>
                  <w:pPr>
                    <w:bidi w:val="0"/>
                    <w:jc w:val="center"/>
                    <w:rPr>
                      <w:rFonts w:hint="default" w:ascii="Times New Roman" w:hAnsi="Times New Roman" w:eastAsia="宋体"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4" w:hRule="atLeast"/>
                <w:jc w:val="center"/>
              </w:trPr>
              <w:tc>
                <w:tcPr>
                  <w:tcW w:w="696" w:type="pct"/>
                  <w:shd w:val="clear" w:color="auto" w:fill="auto"/>
                  <w:vAlign w:val="center"/>
                </w:tcPr>
                <w:p>
                  <w:pPr>
                    <w:bidi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w:t>
                  </w:r>
                </w:p>
              </w:tc>
              <w:tc>
                <w:tcPr>
                  <w:tcW w:w="658" w:type="pct"/>
                  <w:vMerge w:val="continue"/>
                  <w:shd w:val="clear" w:color="auto" w:fill="auto"/>
                  <w:vAlign w:val="center"/>
                </w:tcPr>
                <w:p>
                  <w:pPr>
                    <w:bidi w:val="0"/>
                    <w:jc w:val="center"/>
                    <w:rPr>
                      <w:rFonts w:hint="default" w:ascii="Times New Roman" w:hAnsi="Times New Roman" w:eastAsia="宋体" w:cs="Times New Roman"/>
                      <w:color w:val="auto"/>
                      <w:lang w:val="en-US" w:eastAsia="zh-CN"/>
                    </w:rPr>
                  </w:pPr>
                </w:p>
              </w:tc>
              <w:tc>
                <w:tcPr>
                  <w:tcW w:w="795" w:type="pct"/>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contextualSpacing/>
                    <w:jc w:val="center"/>
                    <w:textAlignment w:val="auto"/>
                    <w:rPr>
                      <w:rFonts w:hint="default" w:ascii="Times New Roman" w:hAnsi="Times New Roman" w:eastAsia="宋体" w:cs="Times New Roman"/>
                      <w:color w:val="auto"/>
                      <w:lang w:val="en-US" w:eastAsia="zh-CN"/>
                    </w:rPr>
                  </w:pPr>
                  <w:r>
                    <w:rPr>
                      <w:rFonts w:hint="eastAsia"/>
                      <w:color w:val="auto"/>
                      <w:szCs w:val="21"/>
                    </w:rPr>
                    <w:t>钢筋架</w:t>
                  </w:r>
                </w:p>
              </w:tc>
              <w:tc>
                <w:tcPr>
                  <w:tcW w:w="494" w:type="pct"/>
                  <w:shd w:val="clear" w:color="auto" w:fill="auto"/>
                  <w:vAlign w:val="center"/>
                </w:tcPr>
                <w:p>
                  <w:pPr>
                    <w:bidi w:val="0"/>
                    <w:jc w:val="center"/>
                    <w:rPr>
                      <w:rFonts w:hint="default" w:ascii="Times New Roman" w:hAnsi="Times New Roman" w:eastAsia="宋体" w:cs="Times New Roman"/>
                      <w:color w:val="auto"/>
                      <w:lang w:val="en-US" w:eastAsia="zh-CN"/>
                    </w:rPr>
                  </w:pPr>
                  <w:r>
                    <w:rPr>
                      <w:color w:val="auto"/>
                      <w:szCs w:val="21"/>
                    </w:rPr>
                    <w:t>t/a</w:t>
                  </w:r>
                </w:p>
              </w:tc>
              <w:tc>
                <w:tcPr>
                  <w:tcW w:w="1730" w:type="dxa"/>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contextualSpacing/>
                    <w:jc w:val="center"/>
                    <w:textAlignment w:val="auto"/>
                    <w:rPr>
                      <w:rFonts w:hint="default" w:ascii="Times New Roman" w:hAnsi="Times New Roman" w:eastAsia="宋体" w:cs="Times New Roman"/>
                      <w:color w:val="auto"/>
                      <w:lang w:val="en-US" w:eastAsia="zh-CN"/>
                    </w:rPr>
                  </w:pPr>
                  <w:r>
                    <w:rPr>
                      <w:rFonts w:hint="eastAsia"/>
                      <w:color w:val="auto"/>
                      <w:szCs w:val="21"/>
                    </w:rPr>
                    <w:t>1</w:t>
                  </w:r>
                  <w:r>
                    <w:rPr>
                      <w:rFonts w:hint="eastAsia"/>
                      <w:color w:val="auto"/>
                      <w:szCs w:val="21"/>
                      <w:lang w:val="en-US" w:eastAsia="zh-CN"/>
                    </w:rPr>
                    <w:t>1</w:t>
                  </w:r>
                  <w:r>
                    <w:rPr>
                      <w:rFonts w:hint="eastAsia"/>
                      <w:color w:val="auto"/>
                      <w:szCs w:val="21"/>
                    </w:rPr>
                    <w:t>00</w:t>
                  </w:r>
                </w:p>
              </w:tc>
              <w:tc>
                <w:tcPr>
                  <w:tcW w:w="1386" w:type="pct"/>
                  <w:shd w:val="clear" w:color="auto" w:fill="auto"/>
                  <w:vAlign w:val="center"/>
                </w:tcPr>
                <w:p>
                  <w:pPr>
                    <w:bidi w:val="0"/>
                    <w:jc w:val="center"/>
                    <w:rPr>
                      <w:rFonts w:hint="default" w:ascii="Times New Roman" w:hAnsi="Times New Roman" w:eastAsia="宋体"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4" w:hRule="atLeast"/>
                <w:jc w:val="center"/>
              </w:trPr>
              <w:tc>
                <w:tcPr>
                  <w:tcW w:w="696" w:type="pct"/>
                  <w:shd w:val="clear" w:color="auto" w:fill="auto"/>
                  <w:vAlign w:val="center"/>
                </w:tcPr>
                <w:p>
                  <w:pPr>
                    <w:bidi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8</w:t>
                  </w:r>
                </w:p>
              </w:tc>
              <w:tc>
                <w:tcPr>
                  <w:tcW w:w="658" w:type="pct"/>
                  <w:vMerge w:val="continue"/>
                  <w:shd w:val="clear" w:color="auto" w:fill="auto"/>
                  <w:vAlign w:val="center"/>
                </w:tcPr>
                <w:p>
                  <w:pPr>
                    <w:bidi w:val="0"/>
                    <w:jc w:val="center"/>
                    <w:rPr>
                      <w:rFonts w:hint="default" w:ascii="Times New Roman" w:hAnsi="Times New Roman" w:eastAsia="宋体" w:cs="Times New Roman"/>
                      <w:color w:val="auto"/>
                      <w:lang w:val="en-US" w:eastAsia="zh-CN"/>
                    </w:rPr>
                  </w:pPr>
                </w:p>
              </w:tc>
              <w:tc>
                <w:tcPr>
                  <w:tcW w:w="795" w:type="pct"/>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contextualSpacing/>
                    <w:jc w:val="center"/>
                    <w:textAlignment w:val="auto"/>
                    <w:rPr>
                      <w:rFonts w:hint="default" w:ascii="Times New Roman" w:hAnsi="Times New Roman" w:eastAsia="宋体" w:cs="Times New Roman"/>
                      <w:color w:val="auto"/>
                      <w:lang w:val="en-US" w:eastAsia="zh-CN"/>
                    </w:rPr>
                  </w:pPr>
                  <w:r>
                    <w:rPr>
                      <w:rFonts w:hint="eastAsia"/>
                      <w:color w:val="auto"/>
                      <w:szCs w:val="21"/>
                    </w:rPr>
                    <w:t>钢筋网</w:t>
                  </w:r>
                </w:p>
              </w:tc>
              <w:tc>
                <w:tcPr>
                  <w:tcW w:w="494" w:type="pct"/>
                  <w:shd w:val="clear" w:color="auto" w:fill="auto"/>
                  <w:vAlign w:val="center"/>
                </w:tcPr>
                <w:p>
                  <w:pPr>
                    <w:bidi w:val="0"/>
                    <w:jc w:val="center"/>
                    <w:rPr>
                      <w:rFonts w:hint="default" w:ascii="Times New Roman" w:hAnsi="Times New Roman" w:eastAsia="宋体" w:cs="Times New Roman"/>
                      <w:color w:val="auto"/>
                      <w:lang w:val="en-US" w:eastAsia="zh-CN"/>
                    </w:rPr>
                  </w:pPr>
                  <w:r>
                    <w:rPr>
                      <w:color w:val="auto"/>
                      <w:szCs w:val="21"/>
                    </w:rPr>
                    <w:t>t/a</w:t>
                  </w:r>
                </w:p>
              </w:tc>
              <w:tc>
                <w:tcPr>
                  <w:tcW w:w="1730" w:type="dxa"/>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contextualSpacing/>
                    <w:jc w:val="center"/>
                    <w:textAlignment w:val="auto"/>
                    <w:rPr>
                      <w:rFonts w:hint="default" w:ascii="Times New Roman" w:hAnsi="Times New Roman" w:eastAsia="宋体" w:cs="Times New Roman"/>
                      <w:color w:val="auto"/>
                      <w:lang w:val="en-US" w:eastAsia="zh-CN"/>
                    </w:rPr>
                  </w:pPr>
                  <w:r>
                    <w:rPr>
                      <w:rFonts w:hint="eastAsia"/>
                      <w:color w:val="auto"/>
                      <w:szCs w:val="21"/>
                      <w:lang w:val="en-US" w:eastAsia="zh-CN"/>
                    </w:rPr>
                    <w:t>9</w:t>
                  </w:r>
                  <w:r>
                    <w:rPr>
                      <w:rFonts w:hint="eastAsia"/>
                      <w:color w:val="auto"/>
                      <w:szCs w:val="21"/>
                    </w:rPr>
                    <w:t>400</w:t>
                  </w:r>
                </w:p>
              </w:tc>
              <w:tc>
                <w:tcPr>
                  <w:tcW w:w="1386" w:type="pct"/>
                  <w:shd w:val="clear" w:color="auto" w:fill="auto"/>
                  <w:vAlign w:val="center"/>
                </w:tcPr>
                <w:p>
                  <w:pPr>
                    <w:bidi w:val="0"/>
                    <w:jc w:val="center"/>
                    <w:rPr>
                      <w:rFonts w:hint="default" w:ascii="Times New Roman" w:hAnsi="Times New Roman" w:eastAsia="宋体"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5000" w:type="pct"/>
                  <w:gridSpan w:val="6"/>
                  <w:shd w:val="clear" w:color="auto" w:fill="auto"/>
                  <w:vAlign w:val="center"/>
                </w:tcPr>
                <w:p>
                  <w:pPr>
                    <w:bidi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商品混凝土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4" w:hRule="atLeast"/>
                <w:jc w:val="center"/>
              </w:trPr>
              <w:tc>
                <w:tcPr>
                  <w:tcW w:w="696" w:type="pct"/>
                  <w:shd w:val="clear" w:color="auto" w:fill="auto"/>
                  <w:vAlign w:val="center"/>
                </w:tcPr>
                <w:p>
                  <w:pPr>
                    <w:bidi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8</w:t>
                  </w:r>
                </w:p>
              </w:tc>
              <w:tc>
                <w:tcPr>
                  <w:tcW w:w="1453" w:type="pct"/>
                  <w:gridSpan w:val="2"/>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contextualSpacing/>
                    <w:jc w:val="center"/>
                    <w:textAlignment w:val="auto"/>
                    <w:rPr>
                      <w:rFonts w:hint="default" w:ascii="Times New Roman" w:hAnsi="Times New Roman" w:eastAsia="宋体" w:cs="Times New Roman"/>
                      <w:color w:val="auto"/>
                      <w:lang w:val="en-US" w:eastAsia="zh-CN"/>
                    </w:rPr>
                  </w:pPr>
                  <w:r>
                    <w:rPr>
                      <w:rFonts w:hint="eastAsia"/>
                      <w:color w:val="auto"/>
                      <w:szCs w:val="21"/>
                    </w:rPr>
                    <w:t>沙子</w:t>
                  </w:r>
                </w:p>
              </w:tc>
              <w:tc>
                <w:tcPr>
                  <w:tcW w:w="494" w:type="pct"/>
                  <w:shd w:val="clear" w:color="auto" w:fill="auto"/>
                  <w:vAlign w:val="center"/>
                </w:tcPr>
                <w:p>
                  <w:pPr>
                    <w:bidi w:val="0"/>
                    <w:jc w:val="center"/>
                    <w:rPr>
                      <w:rFonts w:hint="default" w:ascii="Times New Roman" w:hAnsi="Times New Roman" w:eastAsia="宋体" w:cs="Times New Roman"/>
                      <w:color w:val="auto"/>
                      <w:lang w:val="en-US" w:eastAsia="zh-CN"/>
                    </w:rPr>
                  </w:pPr>
                  <w:r>
                    <w:rPr>
                      <w:color w:val="auto"/>
                      <w:szCs w:val="21"/>
                    </w:rPr>
                    <w:t>t/a</w:t>
                  </w:r>
                </w:p>
              </w:tc>
              <w:tc>
                <w:tcPr>
                  <w:tcW w:w="1730" w:type="dxa"/>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contextualSpacing/>
                    <w:jc w:val="center"/>
                    <w:textAlignment w:val="auto"/>
                    <w:rPr>
                      <w:rFonts w:hint="default" w:ascii="Times New Roman" w:hAnsi="Times New Roman" w:eastAsia="宋体" w:cs="Times New Roman"/>
                      <w:color w:val="auto"/>
                      <w:lang w:val="en-US" w:eastAsia="zh-CN"/>
                    </w:rPr>
                  </w:pPr>
                  <w:r>
                    <w:rPr>
                      <w:rFonts w:hint="eastAsia"/>
                      <w:color w:val="auto"/>
                      <w:szCs w:val="21"/>
                      <w:lang w:val="en-US" w:eastAsia="zh-CN"/>
                    </w:rPr>
                    <w:t>495600</w:t>
                  </w:r>
                </w:p>
              </w:tc>
              <w:tc>
                <w:tcPr>
                  <w:tcW w:w="1386" w:type="pct"/>
                  <w:shd w:val="clear" w:color="auto" w:fill="auto"/>
                  <w:vAlign w:val="center"/>
                </w:tcPr>
                <w:p>
                  <w:pPr>
                    <w:bidi w:val="0"/>
                    <w:jc w:val="center"/>
                    <w:rPr>
                      <w:rFonts w:hint="default" w:ascii="Times New Roman" w:hAnsi="Times New Roman" w:eastAsia="宋体"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96" w:type="pct"/>
                  <w:shd w:val="clear" w:color="auto" w:fill="auto"/>
                  <w:vAlign w:val="center"/>
                </w:tcPr>
                <w:p>
                  <w:pPr>
                    <w:bidi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w:t>
                  </w:r>
                </w:p>
              </w:tc>
              <w:tc>
                <w:tcPr>
                  <w:tcW w:w="1453" w:type="pct"/>
                  <w:gridSpan w:val="2"/>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contextualSpacing/>
                    <w:jc w:val="center"/>
                    <w:textAlignment w:val="auto"/>
                    <w:rPr>
                      <w:rFonts w:hint="default" w:ascii="Times New Roman" w:hAnsi="Times New Roman" w:eastAsia="宋体" w:cs="Times New Roman"/>
                      <w:color w:val="auto"/>
                      <w:lang w:val="en-US" w:eastAsia="zh-CN"/>
                    </w:rPr>
                  </w:pPr>
                  <w:r>
                    <w:rPr>
                      <w:color w:val="auto"/>
                      <w:szCs w:val="21"/>
                    </w:rPr>
                    <w:t>石子</w:t>
                  </w:r>
                </w:p>
              </w:tc>
              <w:tc>
                <w:tcPr>
                  <w:tcW w:w="494" w:type="pct"/>
                  <w:shd w:val="clear" w:color="auto" w:fill="auto"/>
                  <w:vAlign w:val="center"/>
                </w:tcPr>
                <w:p>
                  <w:pPr>
                    <w:bidi w:val="0"/>
                    <w:jc w:val="center"/>
                    <w:rPr>
                      <w:rFonts w:hint="default" w:ascii="Times New Roman" w:hAnsi="Times New Roman" w:eastAsia="宋体" w:cs="Times New Roman"/>
                      <w:color w:val="auto"/>
                      <w:lang w:val="en-US" w:eastAsia="zh-CN"/>
                    </w:rPr>
                  </w:pPr>
                  <w:r>
                    <w:rPr>
                      <w:color w:val="auto"/>
                      <w:szCs w:val="21"/>
                    </w:rPr>
                    <w:t>t/a</w:t>
                  </w:r>
                </w:p>
              </w:tc>
              <w:tc>
                <w:tcPr>
                  <w:tcW w:w="1730" w:type="dxa"/>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contextualSpacing/>
                    <w:jc w:val="center"/>
                    <w:textAlignment w:val="auto"/>
                    <w:rPr>
                      <w:rFonts w:hint="default" w:ascii="Times New Roman" w:hAnsi="Times New Roman" w:eastAsia="宋体" w:cs="Times New Roman"/>
                      <w:color w:val="auto"/>
                      <w:lang w:val="en-US" w:eastAsia="zh-CN"/>
                    </w:rPr>
                  </w:pPr>
                  <w:r>
                    <w:rPr>
                      <w:rFonts w:hint="eastAsia"/>
                      <w:color w:val="auto"/>
                      <w:szCs w:val="21"/>
                      <w:lang w:val="en-US" w:eastAsia="zh-CN"/>
                    </w:rPr>
                    <w:t>1116250</w:t>
                  </w:r>
                </w:p>
              </w:tc>
              <w:tc>
                <w:tcPr>
                  <w:tcW w:w="1386" w:type="pct"/>
                  <w:shd w:val="clear" w:color="auto" w:fill="auto"/>
                  <w:vAlign w:val="center"/>
                </w:tcPr>
                <w:p>
                  <w:pPr>
                    <w:bidi w:val="0"/>
                    <w:jc w:val="center"/>
                    <w:rPr>
                      <w:rFonts w:hint="default" w:ascii="Times New Roman" w:hAnsi="Times New Roman" w:eastAsia="宋体"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96" w:type="pct"/>
                  <w:shd w:val="clear" w:color="auto" w:fill="auto"/>
                  <w:vAlign w:val="center"/>
                </w:tcPr>
                <w:p>
                  <w:pPr>
                    <w:bidi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11</w:t>
                  </w:r>
                </w:p>
              </w:tc>
              <w:tc>
                <w:tcPr>
                  <w:tcW w:w="1453" w:type="pct"/>
                  <w:gridSpan w:val="2"/>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contextualSpacing/>
                    <w:jc w:val="center"/>
                    <w:textAlignment w:val="auto"/>
                    <w:rPr>
                      <w:rFonts w:hint="default" w:ascii="Times New Roman" w:hAnsi="Times New Roman" w:eastAsia="宋体" w:cs="Times New Roman"/>
                      <w:color w:val="auto"/>
                      <w:lang w:val="en-US" w:eastAsia="zh-CN"/>
                    </w:rPr>
                  </w:pPr>
                  <w:r>
                    <w:rPr>
                      <w:rFonts w:hint="eastAsia"/>
                      <w:color w:val="auto"/>
                      <w:szCs w:val="21"/>
                    </w:rPr>
                    <w:t>水泥</w:t>
                  </w:r>
                </w:p>
              </w:tc>
              <w:tc>
                <w:tcPr>
                  <w:tcW w:w="494" w:type="pct"/>
                  <w:shd w:val="clear" w:color="auto" w:fill="auto"/>
                  <w:vAlign w:val="center"/>
                </w:tcPr>
                <w:p>
                  <w:pPr>
                    <w:bidi w:val="0"/>
                    <w:jc w:val="center"/>
                    <w:rPr>
                      <w:rFonts w:hint="default" w:ascii="Times New Roman" w:hAnsi="Times New Roman" w:eastAsia="宋体" w:cs="Times New Roman"/>
                      <w:color w:val="auto"/>
                      <w:lang w:val="en-US" w:eastAsia="zh-CN"/>
                    </w:rPr>
                  </w:pPr>
                  <w:r>
                    <w:rPr>
                      <w:color w:val="auto"/>
                      <w:szCs w:val="21"/>
                    </w:rPr>
                    <w:t>t/a</w:t>
                  </w:r>
                </w:p>
              </w:tc>
              <w:tc>
                <w:tcPr>
                  <w:tcW w:w="1730" w:type="dxa"/>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contextualSpacing/>
                    <w:jc w:val="center"/>
                    <w:textAlignment w:val="auto"/>
                    <w:rPr>
                      <w:rFonts w:hint="default" w:ascii="Times New Roman" w:hAnsi="Times New Roman" w:eastAsia="宋体" w:cs="Times New Roman"/>
                      <w:color w:val="auto"/>
                      <w:lang w:val="en-US" w:eastAsia="zh-CN"/>
                    </w:rPr>
                  </w:pPr>
                  <w:r>
                    <w:rPr>
                      <w:rFonts w:hint="eastAsia"/>
                      <w:color w:val="auto"/>
                      <w:szCs w:val="21"/>
                      <w:lang w:val="en-US" w:eastAsia="zh-CN"/>
                    </w:rPr>
                    <w:t>453304.24</w:t>
                  </w:r>
                </w:p>
              </w:tc>
              <w:tc>
                <w:tcPr>
                  <w:tcW w:w="1386" w:type="pct"/>
                  <w:shd w:val="clear" w:color="auto" w:fill="auto"/>
                  <w:vAlign w:val="center"/>
                </w:tcPr>
                <w:p>
                  <w:pPr>
                    <w:bidi w:val="0"/>
                    <w:jc w:val="center"/>
                    <w:rPr>
                      <w:rFonts w:hint="default" w:ascii="Times New Roman" w:hAnsi="Times New Roman" w:eastAsia="宋体"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4" w:hRule="atLeast"/>
                <w:jc w:val="center"/>
              </w:trPr>
              <w:tc>
                <w:tcPr>
                  <w:tcW w:w="696" w:type="pct"/>
                  <w:shd w:val="clear" w:color="auto" w:fill="auto"/>
                  <w:vAlign w:val="center"/>
                </w:tcPr>
                <w:p>
                  <w:pPr>
                    <w:bidi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12</w:t>
                  </w:r>
                </w:p>
              </w:tc>
              <w:tc>
                <w:tcPr>
                  <w:tcW w:w="1453" w:type="pct"/>
                  <w:gridSpan w:val="2"/>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contextualSpacing/>
                    <w:jc w:val="center"/>
                    <w:textAlignment w:val="auto"/>
                    <w:rPr>
                      <w:rFonts w:hint="default" w:ascii="Times New Roman" w:hAnsi="Times New Roman" w:eastAsia="宋体" w:cs="Times New Roman"/>
                      <w:color w:val="auto"/>
                      <w:lang w:val="en-US" w:eastAsia="zh-CN"/>
                    </w:rPr>
                  </w:pPr>
                  <w:r>
                    <w:rPr>
                      <w:rFonts w:hint="eastAsia"/>
                      <w:color w:val="auto"/>
                      <w:szCs w:val="21"/>
                    </w:rPr>
                    <w:t>水</w:t>
                  </w:r>
                </w:p>
              </w:tc>
              <w:tc>
                <w:tcPr>
                  <w:tcW w:w="494" w:type="pct"/>
                  <w:shd w:val="clear" w:color="auto" w:fill="auto"/>
                  <w:vAlign w:val="center"/>
                </w:tcPr>
                <w:p>
                  <w:pPr>
                    <w:bidi w:val="0"/>
                    <w:jc w:val="center"/>
                    <w:rPr>
                      <w:rFonts w:hint="default" w:ascii="Times New Roman" w:hAnsi="Times New Roman" w:eastAsia="宋体" w:cs="Times New Roman"/>
                      <w:color w:val="auto"/>
                      <w:lang w:val="en-US" w:eastAsia="zh-CN"/>
                    </w:rPr>
                  </w:pPr>
                  <w:r>
                    <w:rPr>
                      <w:color w:val="auto"/>
                      <w:szCs w:val="21"/>
                    </w:rPr>
                    <w:t>t/a</w:t>
                  </w:r>
                </w:p>
              </w:tc>
              <w:tc>
                <w:tcPr>
                  <w:tcW w:w="1730" w:type="dxa"/>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contextualSpacing/>
                    <w:jc w:val="center"/>
                    <w:textAlignment w:val="auto"/>
                    <w:rPr>
                      <w:rFonts w:hint="default" w:ascii="Times New Roman" w:hAnsi="Times New Roman" w:eastAsia="宋体" w:cs="Times New Roman"/>
                      <w:color w:val="auto"/>
                      <w:lang w:val="en-US" w:eastAsia="zh-CN"/>
                    </w:rPr>
                  </w:pPr>
                  <w:r>
                    <w:rPr>
                      <w:rFonts w:hint="eastAsia"/>
                      <w:color w:val="auto"/>
                      <w:szCs w:val="21"/>
                      <w:lang w:val="en-US" w:eastAsia="zh-CN"/>
                    </w:rPr>
                    <w:t>176500</w:t>
                  </w:r>
                </w:p>
              </w:tc>
              <w:tc>
                <w:tcPr>
                  <w:tcW w:w="1386" w:type="pct"/>
                  <w:shd w:val="clear" w:color="auto" w:fill="auto"/>
                  <w:vAlign w:val="center"/>
                </w:tcPr>
                <w:p>
                  <w:pPr>
                    <w:bidi w:val="0"/>
                    <w:jc w:val="center"/>
                    <w:rPr>
                      <w:rFonts w:hint="default" w:ascii="Times New Roman" w:hAnsi="Times New Roman" w:eastAsia="宋体"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5000" w:type="pct"/>
                  <w:gridSpan w:val="6"/>
                  <w:shd w:val="clear" w:color="auto" w:fill="auto"/>
                  <w:vAlign w:val="center"/>
                </w:tcPr>
                <w:p>
                  <w:pPr>
                    <w:bidi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能源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96" w:type="pct"/>
                  <w:shd w:val="clear" w:color="auto" w:fill="auto"/>
                  <w:vAlign w:val="center"/>
                </w:tcPr>
                <w:p>
                  <w:pPr>
                    <w:bidi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13</w:t>
                  </w:r>
                </w:p>
              </w:tc>
              <w:tc>
                <w:tcPr>
                  <w:tcW w:w="1453" w:type="pct"/>
                  <w:gridSpan w:val="2"/>
                  <w:shd w:val="clear" w:color="auto" w:fill="auto"/>
                  <w:vAlign w:val="center"/>
                </w:tcPr>
                <w:p>
                  <w:pPr>
                    <w:bidi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电</w:t>
                  </w:r>
                </w:p>
              </w:tc>
              <w:tc>
                <w:tcPr>
                  <w:tcW w:w="494" w:type="pct"/>
                  <w:shd w:val="clear" w:color="auto" w:fill="auto"/>
                  <w:vAlign w:val="center"/>
                </w:tcPr>
                <w:p>
                  <w:pPr>
                    <w:bidi w:val="0"/>
                    <w:jc w:val="center"/>
                    <w:rPr>
                      <w:rFonts w:hint="default" w:ascii="Times New Roman" w:hAnsi="Times New Roman" w:eastAsia="宋体" w:cs="Times New Roman"/>
                      <w:color w:val="auto"/>
                      <w:lang w:val="en-US" w:eastAsia="zh-CN"/>
                    </w:rPr>
                  </w:pPr>
                  <w:r>
                    <w:rPr>
                      <w:color w:val="auto"/>
                      <w:szCs w:val="21"/>
                    </w:rPr>
                    <w:t>万kWh</w:t>
                  </w:r>
                </w:p>
              </w:tc>
              <w:tc>
                <w:tcPr>
                  <w:tcW w:w="1730" w:type="dxa"/>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contextualSpacing/>
                    <w:jc w:val="center"/>
                    <w:textAlignment w:val="auto"/>
                    <w:rPr>
                      <w:rFonts w:hint="default" w:ascii="Times New Roman" w:hAnsi="Times New Roman" w:eastAsia="宋体" w:cs="Times New Roman"/>
                      <w:color w:val="auto"/>
                      <w:lang w:val="en-US" w:eastAsia="zh-CN"/>
                    </w:rPr>
                  </w:pPr>
                  <w:r>
                    <w:rPr>
                      <w:rFonts w:hint="eastAsia"/>
                      <w:color w:val="auto"/>
                      <w:szCs w:val="21"/>
                    </w:rPr>
                    <w:t>5</w:t>
                  </w:r>
                  <w:r>
                    <w:rPr>
                      <w:rFonts w:hint="eastAsia"/>
                      <w:color w:val="auto"/>
                      <w:szCs w:val="21"/>
                      <w:lang w:val="en-US" w:eastAsia="zh-CN"/>
                    </w:rPr>
                    <w:t>3.27</w:t>
                  </w:r>
                </w:p>
              </w:tc>
              <w:tc>
                <w:tcPr>
                  <w:tcW w:w="1386" w:type="pct"/>
                  <w:shd w:val="clear" w:color="auto" w:fill="auto"/>
                  <w:vAlign w:val="center"/>
                </w:tcPr>
                <w:p>
                  <w:pPr>
                    <w:bidi w:val="0"/>
                    <w:jc w:val="center"/>
                    <w:rPr>
                      <w:rFonts w:hint="default" w:ascii="Times New Roman" w:hAnsi="Times New Roman" w:eastAsia="宋体"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4" w:hRule="atLeast"/>
                <w:jc w:val="center"/>
              </w:trPr>
              <w:tc>
                <w:tcPr>
                  <w:tcW w:w="696" w:type="pct"/>
                  <w:shd w:val="clear" w:color="auto" w:fill="auto"/>
                  <w:vAlign w:val="center"/>
                </w:tcPr>
                <w:p>
                  <w:pPr>
                    <w:bidi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14</w:t>
                  </w:r>
                </w:p>
              </w:tc>
              <w:tc>
                <w:tcPr>
                  <w:tcW w:w="1453" w:type="pct"/>
                  <w:gridSpan w:val="2"/>
                  <w:shd w:val="clear" w:color="auto" w:fill="auto"/>
                  <w:vAlign w:val="center"/>
                </w:tcPr>
                <w:p>
                  <w:pPr>
                    <w:bidi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天然气</w:t>
                  </w:r>
                </w:p>
              </w:tc>
              <w:tc>
                <w:tcPr>
                  <w:tcW w:w="494" w:type="pct"/>
                  <w:shd w:val="clear" w:color="auto" w:fill="auto"/>
                  <w:vAlign w:val="center"/>
                </w:tcPr>
                <w:p>
                  <w:pPr>
                    <w:bidi w:val="0"/>
                    <w:jc w:val="center"/>
                    <w:rPr>
                      <w:rFonts w:hint="default" w:ascii="Times New Roman" w:hAnsi="Times New Roman" w:eastAsia="宋体" w:cs="Times New Roman"/>
                      <w:color w:val="auto"/>
                      <w:lang w:val="en-US" w:eastAsia="zh-CN"/>
                    </w:rPr>
                  </w:pPr>
                  <w:r>
                    <w:rPr>
                      <w:rFonts w:hint="eastAsia"/>
                      <w:color w:val="auto"/>
                      <w:szCs w:val="21"/>
                    </w:rPr>
                    <w:t>万Nm</w:t>
                  </w:r>
                  <w:r>
                    <w:rPr>
                      <w:rFonts w:hint="eastAsia"/>
                      <w:color w:val="auto"/>
                      <w:szCs w:val="21"/>
                      <w:vertAlign w:val="superscript"/>
                    </w:rPr>
                    <w:t>3</w:t>
                  </w:r>
                  <w:r>
                    <w:rPr>
                      <w:rFonts w:hint="eastAsia"/>
                      <w:color w:val="auto"/>
                      <w:szCs w:val="21"/>
                    </w:rPr>
                    <w:t>/a</w:t>
                  </w:r>
                </w:p>
              </w:tc>
              <w:tc>
                <w:tcPr>
                  <w:tcW w:w="1730" w:type="dxa"/>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contextualSpacing/>
                    <w:jc w:val="center"/>
                    <w:textAlignment w:val="auto"/>
                    <w:rPr>
                      <w:rFonts w:hint="default" w:ascii="Times New Roman" w:hAnsi="Times New Roman" w:eastAsia="宋体" w:cs="Times New Roman"/>
                      <w:color w:val="auto"/>
                      <w:lang w:val="en-US" w:eastAsia="zh-CN"/>
                    </w:rPr>
                  </w:pPr>
                  <w:r>
                    <w:rPr>
                      <w:rFonts w:hint="eastAsia"/>
                      <w:color w:val="auto"/>
                      <w:szCs w:val="21"/>
                      <w:lang w:val="en-US" w:eastAsia="zh-CN"/>
                    </w:rPr>
                    <w:t>141.92</w:t>
                  </w:r>
                </w:p>
              </w:tc>
              <w:tc>
                <w:tcPr>
                  <w:tcW w:w="1386" w:type="pct"/>
                  <w:shd w:val="clear" w:color="auto" w:fill="auto"/>
                  <w:vAlign w:val="center"/>
                </w:tcPr>
                <w:p>
                  <w:pPr>
                    <w:bidi w:val="0"/>
                    <w:jc w:val="center"/>
                    <w:rPr>
                      <w:rFonts w:hint="default" w:ascii="Times New Roman" w:hAnsi="Times New Roman" w:eastAsia="宋体" w:cs="Times New Roman"/>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3.6劳动定员及工作制度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kern w:val="0"/>
                <w:sz w:val="24"/>
              </w:rPr>
              <w:t>项目劳动定</w:t>
            </w:r>
            <w:r>
              <w:rPr>
                <w:rFonts w:hint="default" w:ascii="Times New Roman" w:hAnsi="Times New Roman" w:eastAsia="宋体" w:cs="Times New Roman"/>
                <w:color w:val="auto"/>
                <w:kern w:val="0"/>
                <w:sz w:val="24"/>
              </w:rPr>
              <w:t>员</w:t>
            </w:r>
            <w:r>
              <w:rPr>
                <w:rFonts w:hint="default" w:ascii="Times New Roman" w:hAnsi="Times New Roman" w:eastAsia="宋体" w:cs="Times New Roman"/>
                <w:color w:val="auto"/>
                <w:kern w:val="0"/>
                <w:sz w:val="24"/>
                <w:lang w:val="en-US" w:eastAsia="zh-CN"/>
              </w:rPr>
              <w:t>1</w:t>
            </w:r>
            <w:r>
              <w:rPr>
                <w:rFonts w:hint="eastAsia" w:ascii="Times New Roman" w:hAnsi="Times New Roman" w:eastAsia="宋体" w:cs="Times New Roman"/>
                <w:color w:val="auto"/>
                <w:kern w:val="0"/>
                <w:sz w:val="24"/>
                <w:lang w:val="en-US" w:eastAsia="zh-CN"/>
              </w:rPr>
              <w:t>00</w:t>
            </w:r>
            <w:r>
              <w:rPr>
                <w:rFonts w:hint="default" w:ascii="Times New Roman" w:hAnsi="Times New Roman" w:eastAsia="宋体" w:cs="Times New Roman"/>
                <w:color w:val="auto"/>
                <w:kern w:val="0"/>
                <w:sz w:val="24"/>
                <w:lang w:val="en-US" w:eastAsia="zh-CN"/>
              </w:rPr>
              <w:t>人</w:t>
            </w:r>
            <w:r>
              <w:rPr>
                <w:rFonts w:hint="eastAsia" w:ascii="Times New Roman" w:hAnsi="Times New Roman" w:eastAsia="宋体" w:cs="Times New Roman"/>
                <w:color w:val="auto"/>
                <w:kern w:val="0"/>
                <w:sz w:val="24"/>
                <w:lang w:val="en-US" w:eastAsia="zh-CN"/>
              </w:rPr>
              <w:t>，</w:t>
            </w:r>
            <w:r>
              <w:rPr>
                <w:rFonts w:hint="default" w:ascii="Times New Roman" w:hAnsi="Times New Roman" w:eastAsia="宋体" w:cs="Times New Roman"/>
                <w:kern w:val="0"/>
                <w:sz w:val="24"/>
              </w:rPr>
              <w:t>年生产</w:t>
            </w:r>
            <w:r>
              <w:rPr>
                <w:rFonts w:hint="eastAsia" w:ascii="Times New Roman" w:hAnsi="Times New Roman" w:eastAsia="宋体" w:cs="Times New Roman"/>
                <w:kern w:val="0"/>
                <w:sz w:val="24"/>
                <w:lang w:val="en-US" w:eastAsia="zh-CN"/>
              </w:rPr>
              <w:t>时</w:t>
            </w:r>
            <w:r>
              <w:rPr>
                <w:rFonts w:hint="default" w:ascii="Times New Roman" w:hAnsi="Times New Roman" w:eastAsia="宋体" w:cs="Times New Roman"/>
                <w:kern w:val="0"/>
                <w:sz w:val="24"/>
              </w:rPr>
              <w:t>数</w:t>
            </w:r>
            <w:r>
              <w:rPr>
                <w:rFonts w:hint="eastAsia" w:ascii="Times New Roman" w:hAnsi="Times New Roman" w:eastAsia="宋体" w:cs="Times New Roman"/>
                <w:kern w:val="0"/>
                <w:sz w:val="24"/>
                <w:lang w:val="en-US" w:eastAsia="zh-CN"/>
              </w:rPr>
              <w:t>3000h</w:t>
            </w:r>
            <w:r>
              <w:rPr>
                <w:rFonts w:hint="default" w:ascii="Times New Roman" w:hAnsi="Times New Roman" w:eastAsia="宋体" w:cs="Times New Roman"/>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3.7配套及辅助设施</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给水</w:t>
            </w:r>
          </w:p>
          <w:p>
            <w:pPr>
              <w:spacing w:line="360" w:lineRule="auto"/>
              <w:ind w:firstLine="480" w:firstLineChars="200"/>
              <w:rPr>
                <w:color w:val="auto"/>
                <w:sz w:val="24"/>
              </w:rPr>
            </w:pPr>
            <w:r>
              <w:rPr>
                <w:bCs/>
                <w:color w:val="auto"/>
                <w:sz w:val="24"/>
              </w:rPr>
              <w:t>项目</w:t>
            </w:r>
            <w:r>
              <w:rPr>
                <w:rFonts w:hint="eastAsia"/>
                <w:bCs/>
                <w:color w:val="auto"/>
                <w:sz w:val="24"/>
                <w:lang w:eastAsia="zh-CN"/>
              </w:rPr>
              <w:t>生产</w:t>
            </w:r>
            <w:r>
              <w:rPr>
                <w:bCs/>
                <w:color w:val="auto"/>
                <w:sz w:val="24"/>
              </w:rPr>
              <w:t>用水主要有</w:t>
            </w:r>
            <w:r>
              <w:rPr>
                <w:rFonts w:hint="eastAsia"/>
                <w:color w:val="auto"/>
                <w:sz w:val="24"/>
                <w:lang w:eastAsia="zh-CN"/>
              </w:rPr>
              <w:t>搅拌</w:t>
            </w:r>
            <w:r>
              <w:rPr>
                <w:color w:val="auto"/>
                <w:sz w:val="24"/>
              </w:rPr>
              <w:t>用水、</w:t>
            </w:r>
            <w:r>
              <w:rPr>
                <w:rFonts w:hint="eastAsia"/>
                <w:color w:val="auto"/>
                <w:sz w:val="24"/>
                <w:lang w:eastAsia="zh-CN"/>
              </w:rPr>
              <w:t>湿式切断用水</w:t>
            </w:r>
            <w:r>
              <w:rPr>
                <w:color w:val="auto"/>
                <w:sz w:val="24"/>
              </w:rPr>
              <w:t>、</w:t>
            </w:r>
            <w:r>
              <w:rPr>
                <w:rFonts w:hint="eastAsia"/>
                <w:color w:val="auto"/>
                <w:sz w:val="24"/>
                <w:lang w:eastAsia="zh-CN"/>
              </w:rPr>
              <w:t>锅炉补</w:t>
            </w:r>
            <w:r>
              <w:rPr>
                <w:rFonts w:hint="eastAsia"/>
                <w:color w:val="auto"/>
                <w:sz w:val="24"/>
              </w:rPr>
              <w:t>水</w:t>
            </w:r>
            <w:r>
              <w:rPr>
                <w:rFonts w:hint="eastAsia"/>
                <w:color w:val="auto"/>
                <w:sz w:val="24"/>
                <w:lang w:eastAsia="zh-CN"/>
              </w:rPr>
              <w:t>、</w:t>
            </w:r>
            <w:r>
              <w:rPr>
                <w:rFonts w:hint="eastAsia"/>
                <w:color w:val="auto"/>
                <w:sz w:val="24"/>
              </w:rPr>
              <w:t>清洗用水</w:t>
            </w:r>
            <w:r>
              <w:rPr>
                <w:rFonts w:hint="eastAsia"/>
                <w:color w:val="auto"/>
                <w:sz w:val="24"/>
                <w:lang w:eastAsia="zh-CN"/>
              </w:rPr>
              <w:t>、防尘用水和养护用水</w:t>
            </w:r>
            <w:r>
              <w:rPr>
                <w:bCs/>
                <w:color w:val="auto"/>
                <w:sz w:val="24"/>
              </w:rPr>
              <w:t>。</w:t>
            </w:r>
          </w:p>
          <w:p>
            <w:pPr>
              <w:spacing w:line="360" w:lineRule="auto"/>
              <w:ind w:firstLine="480" w:firstLineChars="200"/>
              <w:rPr>
                <w:rFonts w:hint="default" w:eastAsia="宋体"/>
                <w:color w:val="auto"/>
                <w:sz w:val="24"/>
                <w:lang w:val="en-US" w:eastAsia="zh-CN"/>
              </w:rPr>
            </w:pPr>
            <w:r>
              <w:rPr>
                <w:snapToGrid w:val="0"/>
                <w:color w:val="auto"/>
                <w:kern w:val="0"/>
                <w:sz w:val="24"/>
              </w:rPr>
              <w:t>项目</w:t>
            </w:r>
            <w:r>
              <w:rPr>
                <w:rFonts w:hint="eastAsia"/>
                <w:snapToGrid w:val="0"/>
                <w:color w:val="auto"/>
                <w:kern w:val="0"/>
                <w:sz w:val="24"/>
                <w:lang w:eastAsia="zh-CN"/>
              </w:rPr>
              <w:t>生产用水采用</w:t>
            </w:r>
            <w:r>
              <w:rPr>
                <w:rFonts w:hint="eastAsia"/>
                <w:snapToGrid w:val="0"/>
                <w:color w:val="auto"/>
                <w:kern w:val="0"/>
                <w:sz w:val="24"/>
                <w:lang w:val="en-US" w:eastAsia="zh-CN"/>
              </w:rPr>
              <w:t>巴州洁源排水有限公司（库尔勒经济技术开发区工业废水处理回用厂）供给的中水，</w:t>
            </w:r>
            <w:r>
              <w:rPr>
                <w:snapToGrid w:val="0"/>
                <w:color w:val="auto"/>
                <w:kern w:val="0"/>
                <w:sz w:val="24"/>
              </w:rPr>
              <w:t>供水能满足项目用水的要求</w:t>
            </w:r>
            <w:r>
              <w:rPr>
                <w:color w:val="auto"/>
                <w:sz w:val="24"/>
              </w:rPr>
              <w:t>。</w:t>
            </w:r>
            <w:r>
              <w:rPr>
                <w:rFonts w:hint="eastAsia"/>
                <w:color w:val="auto"/>
                <w:sz w:val="24"/>
                <w:lang w:eastAsia="zh-CN"/>
              </w:rPr>
              <w:t>生活用水工程依托原有项目，由库尔勒经济技术开发区自来水管网供给。</w:t>
            </w:r>
            <w:r>
              <w:rPr>
                <w:rFonts w:hint="eastAsia"/>
                <w:color w:val="auto"/>
                <w:sz w:val="24"/>
                <w:lang w:val="en-US" w:eastAsia="zh-CN"/>
              </w:rPr>
              <w:t xml:space="preserve">  </w:t>
            </w:r>
          </w:p>
          <w:p>
            <w:pPr>
              <w:numPr>
                <w:ilvl w:val="0"/>
                <w:numId w:val="0"/>
              </w:numPr>
              <w:tabs>
                <w:tab w:val="left" w:pos="0"/>
              </w:tabs>
              <w:spacing w:line="360" w:lineRule="auto"/>
              <w:ind w:left="420" w:leftChars="0"/>
              <w:rPr>
                <w:color w:val="auto"/>
                <w:sz w:val="24"/>
              </w:rPr>
            </w:pPr>
            <w:r>
              <w:rPr>
                <w:rFonts w:hint="eastAsia"/>
                <w:color w:val="auto"/>
                <w:sz w:val="24"/>
                <w:lang w:val="en-US" w:eastAsia="zh-CN"/>
              </w:rPr>
              <w:t>①</w:t>
            </w:r>
            <w:r>
              <w:rPr>
                <w:rFonts w:hint="eastAsia"/>
                <w:color w:val="auto"/>
                <w:sz w:val="24"/>
                <w:lang w:eastAsia="zh-CN"/>
              </w:rPr>
              <w:t>搅拌</w:t>
            </w:r>
            <w:r>
              <w:rPr>
                <w:color w:val="auto"/>
                <w:sz w:val="24"/>
              </w:rPr>
              <w:t>用水</w:t>
            </w:r>
          </w:p>
          <w:p>
            <w:pPr>
              <w:spacing w:line="360" w:lineRule="auto"/>
              <w:ind w:firstLine="480" w:firstLineChars="200"/>
              <w:rPr>
                <w:rFonts w:hint="eastAsia" w:eastAsia="宋体"/>
                <w:color w:val="auto"/>
                <w:sz w:val="24"/>
                <w:lang w:eastAsia="zh-CN"/>
              </w:rPr>
            </w:pPr>
            <w:r>
              <w:rPr>
                <w:color w:val="auto"/>
                <w:sz w:val="24"/>
              </w:rPr>
              <w:t>本项目</w:t>
            </w:r>
            <w:r>
              <w:rPr>
                <w:rFonts w:hint="eastAsia"/>
                <w:color w:val="auto"/>
                <w:sz w:val="24"/>
                <w:lang w:eastAsia="zh-CN"/>
              </w:rPr>
              <w:t>免拆模板复合保温墙板</w:t>
            </w:r>
            <w:r>
              <w:rPr>
                <w:rFonts w:hint="eastAsia"/>
                <w:color w:val="auto"/>
                <w:sz w:val="24"/>
              </w:rPr>
              <w:t>、</w:t>
            </w:r>
            <w:r>
              <w:rPr>
                <w:color w:val="auto"/>
                <w:sz w:val="24"/>
              </w:rPr>
              <w:t>叠合楼板、</w:t>
            </w:r>
            <w:r>
              <w:rPr>
                <w:rFonts w:hint="eastAsia"/>
                <w:color w:val="auto"/>
                <w:sz w:val="24"/>
              </w:rPr>
              <w:t>PC构件</w:t>
            </w:r>
            <w:r>
              <w:rPr>
                <w:color w:val="auto"/>
                <w:sz w:val="24"/>
              </w:rPr>
              <w:t>、</w:t>
            </w:r>
            <w:r>
              <w:rPr>
                <w:rFonts w:hint="eastAsia"/>
                <w:color w:val="auto"/>
                <w:sz w:val="24"/>
              </w:rPr>
              <w:t>商品混凝土在</w:t>
            </w:r>
            <w:r>
              <w:rPr>
                <w:color w:val="auto"/>
                <w:sz w:val="24"/>
              </w:rPr>
              <w:t>生产过程中</w:t>
            </w:r>
            <w:r>
              <w:rPr>
                <w:rFonts w:hint="eastAsia"/>
                <w:color w:val="auto"/>
                <w:sz w:val="24"/>
              </w:rPr>
              <w:t>搅拌</w:t>
            </w:r>
            <w:r>
              <w:rPr>
                <w:color w:val="auto"/>
                <w:sz w:val="24"/>
              </w:rPr>
              <w:t>水泥</w:t>
            </w:r>
            <w:r>
              <w:rPr>
                <w:rFonts w:hint="eastAsia"/>
                <w:color w:val="auto"/>
                <w:sz w:val="24"/>
              </w:rPr>
              <w:t>砂浆</w:t>
            </w:r>
            <w:r>
              <w:rPr>
                <w:color w:val="auto"/>
                <w:sz w:val="24"/>
              </w:rPr>
              <w:t>需加入一定</w:t>
            </w:r>
            <w:r>
              <w:rPr>
                <w:rFonts w:hint="eastAsia"/>
                <w:color w:val="auto"/>
                <w:sz w:val="24"/>
              </w:rPr>
              <w:t>比例</w:t>
            </w:r>
            <w:r>
              <w:rPr>
                <w:color w:val="auto"/>
                <w:sz w:val="24"/>
              </w:rPr>
              <w:t>的水进行搅拌，</w:t>
            </w:r>
            <w:r>
              <w:rPr>
                <w:rFonts w:hint="eastAsia"/>
                <w:color w:val="auto"/>
                <w:sz w:val="24"/>
              </w:rPr>
              <w:t>根据业主提供的资料，</w:t>
            </w:r>
            <w:r>
              <w:rPr>
                <w:rFonts w:hint="eastAsia"/>
                <w:color w:val="auto"/>
                <w:sz w:val="24"/>
                <w:lang w:eastAsia="zh-CN"/>
              </w:rPr>
              <w:t>免拆模板复合保温墙板</w:t>
            </w:r>
            <w:r>
              <w:rPr>
                <w:rFonts w:hint="eastAsia"/>
                <w:color w:val="auto"/>
                <w:sz w:val="24"/>
              </w:rPr>
              <w:t>生产用水量为2.5kg/m</w:t>
            </w:r>
            <w:r>
              <w:rPr>
                <w:rFonts w:hint="eastAsia"/>
                <w:color w:val="auto"/>
                <w:sz w:val="24"/>
                <w:vertAlign w:val="superscript"/>
              </w:rPr>
              <w:t>2</w:t>
            </w:r>
            <w:r>
              <w:rPr>
                <w:rFonts w:hint="eastAsia"/>
                <w:color w:val="auto"/>
                <w:sz w:val="24"/>
              </w:rPr>
              <w:t>产品，则年用水量为</w:t>
            </w:r>
            <w:r>
              <w:rPr>
                <w:rFonts w:hint="eastAsia"/>
                <w:color w:val="auto"/>
                <w:sz w:val="24"/>
                <w:lang w:val="en-US" w:eastAsia="zh-CN"/>
              </w:rPr>
              <w:t>1000</w:t>
            </w:r>
            <w:r>
              <w:rPr>
                <w:color w:val="auto"/>
                <w:sz w:val="24"/>
              </w:rPr>
              <w:t>t/a</w:t>
            </w:r>
            <w:r>
              <w:rPr>
                <w:rFonts w:hint="eastAsia"/>
                <w:color w:val="auto"/>
                <w:sz w:val="24"/>
              </w:rPr>
              <w:t>；</w:t>
            </w:r>
            <w:r>
              <w:rPr>
                <w:color w:val="auto"/>
                <w:sz w:val="24"/>
              </w:rPr>
              <w:t>叠合楼板</w:t>
            </w:r>
            <w:r>
              <w:rPr>
                <w:rFonts w:hint="eastAsia"/>
                <w:color w:val="auto"/>
                <w:sz w:val="24"/>
              </w:rPr>
              <w:t>与PC构件是钢筋混凝土产品，</w:t>
            </w:r>
            <w:r>
              <w:rPr>
                <w:color w:val="auto"/>
                <w:sz w:val="24"/>
              </w:rPr>
              <w:t>叠合楼板</w:t>
            </w:r>
            <w:r>
              <w:rPr>
                <w:rFonts w:hint="eastAsia"/>
                <w:color w:val="auto"/>
                <w:sz w:val="24"/>
              </w:rPr>
              <w:t>的混凝土厚度按平均100</w:t>
            </w:r>
            <w:r>
              <w:rPr>
                <w:color w:val="auto"/>
                <w:sz w:val="24"/>
              </w:rPr>
              <w:t>mm</w:t>
            </w:r>
            <w:r>
              <w:rPr>
                <w:rFonts w:hint="eastAsia"/>
                <w:color w:val="auto"/>
                <w:sz w:val="24"/>
              </w:rPr>
              <w:t>计算，体积为</w:t>
            </w:r>
            <w:r>
              <w:rPr>
                <w:rFonts w:hint="eastAsia"/>
                <w:color w:val="auto"/>
                <w:sz w:val="24"/>
                <w:lang w:val="en-US" w:eastAsia="zh-CN"/>
              </w:rPr>
              <w:t>6</w:t>
            </w:r>
            <w:r>
              <w:rPr>
                <w:rFonts w:hint="eastAsia"/>
                <w:color w:val="auto"/>
                <w:sz w:val="24"/>
              </w:rPr>
              <w:t>万m</w:t>
            </w:r>
            <w:r>
              <w:rPr>
                <w:rFonts w:hint="eastAsia"/>
                <w:color w:val="auto"/>
                <w:sz w:val="24"/>
                <w:vertAlign w:val="superscript"/>
              </w:rPr>
              <w:t>3</w:t>
            </w:r>
            <w:r>
              <w:rPr>
                <w:rFonts w:hint="eastAsia"/>
                <w:color w:val="auto"/>
                <w:sz w:val="24"/>
              </w:rPr>
              <w:t>，PC构件比重为2.4t/m</w:t>
            </w:r>
            <w:r>
              <w:rPr>
                <w:rFonts w:hint="eastAsia"/>
                <w:color w:val="auto"/>
                <w:sz w:val="24"/>
                <w:vertAlign w:val="superscript"/>
              </w:rPr>
              <w:t>3</w:t>
            </w:r>
            <w:r>
              <w:rPr>
                <w:color w:val="auto"/>
                <w:sz w:val="24"/>
              </w:rPr>
              <w:t>，</w:t>
            </w:r>
            <w:r>
              <w:rPr>
                <w:rFonts w:hint="eastAsia"/>
                <w:color w:val="auto"/>
                <w:sz w:val="24"/>
              </w:rPr>
              <w:t>体积为</w:t>
            </w:r>
            <w:r>
              <w:rPr>
                <w:rFonts w:hint="eastAsia"/>
                <w:color w:val="auto"/>
                <w:sz w:val="24"/>
                <w:lang w:val="en-US" w:eastAsia="zh-CN"/>
              </w:rPr>
              <w:t>1.5</w:t>
            </w:r>
            <w:r>
              <w:rPr>
                <w:rFonts w:hint="eastAsia"/>
                <w:color w:val="auto"/>
                <w:sz w:val="24"/>
              </w:rPr>
              <w:t>万m</w:t>
            </w:r>
            <w:r>
              <w:rPr>
                <w:rFonts w:hint="eastAsia"/>
                <w:color w:val="auto"/>
                <w:sz w:val="24"/>
                <w:vertAlign w:val="superscript"/>
              </w:rPr>
              <w:t>3</w:t>
            </w:r>
            <w:r>
              <w:rPr>
                <w:rFonts w:hint="eastAsia"/>
                <w:color w:val="auto"/>
                <w:sz w:val="24"/>
              </w:rPr>
              <w:t>，商品混凝土</w:t>
            </w:r>
            <w:r>
              <w:rPr>
                <w:rFonts w:hint="eastAsia"/>
                <w:color w:val="auto"/>
                <w:sz w:val="24"/>
                <w:lang w:val="en-US" w:eastAsia="zh-CN"/>
              </w:rPr>
              <w:t>90</w:t>
            </w:r>
            <w:r>
              <w:rPr>
                <w:rFonts w:hint="eastAsia"/>
                <w:color w:val="auto"/>
                <w:sz w:val="24"/>
              </w:rPr>
              <w:t>万</w:t>
            </w:r>
            <w:r>
              <w:rPr>
                <w:color w:val="auto"/>
                <w:sz w:val="24"/>
              </w:rPr>
              <w:t>m</w:t>
            </w:r>
            <w:r>
              <w:rPr>
                <w:rFonts w:hint="eastAsia"/>
                <w:color w:val="auto"/>
                <w:sz w:val="24"/>
                <w:vertAlign w:val="superscript"/>
              </w:rPr>
              <w:t>3</w:t>
            </w:r>
            <w:r>
              <w:rPr>
                <w:rFonts w:hint="eastAsia"/>
                <w:color w:val="auto"/>
                <w:sz w:val="24"/>
              </w:rPr>
              <w:t>，3种混凝土产品的体积和为</w:t>
            </w:r>
            <w:r>
              <w:rPr>
                <w:rFonts w:hint="eastAsia"/>
                <w:color w:val="auto"/>
                <w:sz w:val="24"/>
                <w:lang w:val="en-US" w:eastAsia="zh-CN"/>
              </w:rPr>
              <w:t>97.5</w:t>
            </w:r>
            <w:r>
              <w:rPr>
                <w:rFonts w:hint="eastAsia"/>
                <w:color w:val="auto"/>
                <w:sz w:val="24"/>
              </w:rPr>
              <w:t>万m</w:t>
            </w:r>
            <w:r>
              <w:rPr>
                <w:rFonts w:hint="eastAsia"/>
                <w:color w:val="auto"/>
                <w:sz w:val="24"/>
                <w:vertAlign w:val="superscript"/>
              </w:rPr>
              <w:t>3</w:t>
            </w:r>
            <w:r>
              <w:rPr>
                <w:rFonts w:hint="eastAsia"/>
                <w:color w:val="auto"/>
                <w:sz w:val="24"/>
              </w:rPr>
              <w:t>，混凝土产品生产</w:t>
            </w:r>
            <w:r>
              <w:rPr>
                <w:color w:val="auto"/>
                <w:sz w:val="24"/>
              </w:rPr>
              <w:t>搅拌用水量约180L/（m</w:t>
            </w:r>
            <w:r>
              <w:rPr>
                <w:color w:val="auto"/>
                <w:sz w:val="24"/>
                <w:vertAlign w:val="superscript"/>
              </w:rPr>
              <w:t>3</w:t>
            </w:r>
            <w:r>
              <w:rPr>
                <w:color w:val="auto"/>
                <w:sz w:val="24"/>
              </w:rPr>
              <w:t>·产品），</w:t>
            </w:r>
            <w:r>
              <w:rPr>
                <w:rFonts w:hint="eastAsia"/>
                <w:color w:val="auto"/>
                <w:sz w:val="24"/>
              </w:rPr>
              <w:t>则年用水量为</w:t>
            </w:r>
            <w:r>
              <w:rPr>
                <w:rFonts w:hint="eastAsia"/>
                <w:color w:val="auto"/>
                <w:sz w:val="24"/>
                <w:lang w:val="en-US" w:eastAsia="zh-CN"/>
              </w:rPr>
              <w:t>175500</w:t>
            </w:r>
            <w:r>
              <w:rPr>
                <w:color w:val="auto"/>
                <w:sz w:val="24"/>
              </w:rPr>
              <w:t>t/a</w:t>
            </w:r>
            <w:r>
              <w:rPr>
                <w:rFonts w:hint="eastAsia"/>
                <w:color w:val="auto"/>
                <w:sz w:val="24"/>
              </w:rPr>
              <w:t>；</w:t>
            </w:r>
            <w:r>
              <w:rPr>
                <w:color w:val="auto"/>
                <w:sz w:val="24"/>
              </w:rPr>
              <w:t>合计</w:t>
            </w:r>
            <w:r>
              <w:rPr>
                <w:rFonts w:hint="eastAsia"/>
                <w:color w:val="auto"/>
                <w:sz w:val="24"/>
              </w:rPr>
              <w:t>年用水量为</w:t>
            </w:r>
            <w:r>
              <w:rPr>
                <w:rFonts w:hint="eastAsia"/>
                <w:color w:val="auto"/>
                <w:sz w:val="24"/>
                <w:lang w:val="en-US" w:eastAsia="zh-CN"/>
              </w:rPr>
              <w:t>176500</w:t>
            </w:r>
            <w:r>
              <w:rPr>
                <w:color w:val="auto"/>
                <w:sz w:val="24"/>
              </w:rPr>
              <w:t>t/a</w:t>
            </w:r>
            <w:r>
              <w:rPr>
                <w:rFonts w:hint="eastAsia"/>
                <w:color w:val="auto"/>
                <w:sz w:val="24"/>
              </w:rPr>
              <w:t>；</w:t>
            </w:r>
            <w:r>
              <w:rPr>
                <w:color w:val="auto"/>
                <w:sz w:val="24"/>
              </w:rPr>
              <w:t>本项目年生产按300d计，则平均日搅拌用水量约</w:t>
            </w:r>
            <w:r>
              <w:rPr>
                <w:rFonts w:hint="eastAsia"/>
                <w:color w:val="auto"/>
                <w:sz w:val="24"/>
                <w:lang w:val="en-US" w:eastAsia="zh-CN"/>
              </w:rPr>
              <w:t>588.33</w:t>
            </w:r>
            <w:r>
              <w:rPr>
                <w:color w:val="auto"/>
                <w:sz w:val="24"/>
              </w:rPr>
              <w:t>t/a</w:t>
            </w:r>
            <w:r>
              <w:rPr>
                <w:rFonts w:hint="eastAsia"/>
                <w:color w:val="auto"/>
                <w:sz w:val="24"/>
                <w:lang w:eastAsia="zh-CN"/>
              </w:rPr>
              <w:t>。</w:t>
            </w:r>
          </w:p>
          <w:p>
            <w:pPr>
              <w:numPr>
                <w:ilvl w:val="0"/>
                <w:numId w:val="0"/>
              </w:numPr>
              <w:tabs>
                <w:tab w:val="left" w:pos="0"/>
              </w:tabs>
              <w:spacing w:line="360" w:lineRule="auto"/>
              <w:ind w:left="420" w:leftChars="0"/>
              <w:rPr>
                <w:color w:val="auto"/>
                <w:sz w:val="24"/>
              </w:rPr>
            </w:pPr>
            <w:r>
              <w:rPr>
                <w:rFonts w:hint="eastAsia"/>
                <w:color w:val="auto"/>
                <w:sz w:val="24"/>
                <w:lang w:val="en-US" w:eastAsia="zh-CN"/>
              </w:rPr>
              <w:t>②</w:t>
            </w:r>
            <w:r>
              <w:rPr>
                <w:rFonts w:hint="eastAsia"/>
                <w:color w:val="auto"/>
                <w:sz w:val="24"/>
              </w:rPr>
              <w:t>湿式切断工序用水</w:t>
            </w:r>
          </w:p>
          <w:p>
            <w:pPr>
              <w:adjustRightInd w:val="0"/>
              <w:spacing w:line="360" w:lineRule="auto"/>
              <w:ind w:firstLine="480" w:firstLineChars="200"/>
              <w:textAlignment w:val="baseline"/>
              <w:rPr>
                <w:color w:val="auto"/>
              </w:rPr>
            </w:pPr>
            <w:r>
              <w:rPr>
                <w:color w:val="auto"/>
                <w:sz w:val="24"/>
              </w:rPr>
              <w:t>自动剪裁机将成型好的板材进行自动切断，通过摆渡车送到养护室。</w:t>
            </w:r>
            <w:r>
              <w:rPr>
                <w:rFonts w:hint="eastAsia"/>
                <w:color w:val="auto"/>
                <w:sz w:val="24"/>
              </w:rPr>
              <w:t>切断板材</w:t>
            </w:r>
            <w:r>
              <w:rPr>
                <w:color w:val="auto"/>
                <w:sz w:val="24"/>
              </w:rPr>
              <w:t>会产生少量噪声</w:t>
            </w:r>
            <w:r>
              <w:rPr>
                <w:rFonts w:hint="eastAsia"/>
                <w:color w:val="auto"/>
                <w:sz w:val="24"/>
              </w:rPr>
              <w:t>以及粉尘，切割</w:t>
            </w:r>
            <w:r>
              <w:rPr>
                <w:color w:val="auto"/>
                <w:sz w:val="24"/>
              </w:rPr>
              <w:t>过程由于产品湿度较大，产尘量较小</w:t>
            </w:r>
            <w:r>
              <w:rPr>
                <w:rFonts w:hint="eastAsia"/>
                <w:color w:val="auto"/>
                <w:sz w:val="24"/>
              </w:rPr>
              <w:t>，</w:t>
            </w:r>
            <w:r>
              <w:rPr>
                <w:color w:val="auto"/>
                <w:sz w:val="24"/>
              </w:rPr>
              <w:t>建议建设单位对该修边作业安装水雾降尘设施</w:t>
            </w:r>
            <w:r>
              <w:rPr>
                <w:rFonts w:hint="eastAsia"/>
                <w:color w:val="auto"/>
                <w:sz w:val="24"/>
              </w:rPr>
              <w:t>，</w:t>
            </w:r>
            <w:r>
              <w:rPr>
                <w:color w:val="auto"/>
                <w:sz w:val="24"/>
              </w:rPr>
              <w:t>雾化器补水量约为0.2m</w:t>
            </w:r>
            <w:r>
              <w:rPr>
                <w:color w:val="auto"/>
                <w:sz w:val="24"/>
                <w:vertAlign w:val="superscript"/>
              </w:rPr>
              <w:t>2</w:t>
            </w:r>
            <w:r>
              <w:rPr>
                <w:color w:val="auto"/>
                <w:sz w:val="24"/>
              </w:rPr>
              <w:t>/d</w:t>
            </w:r>
            <w:r>
              <w:rPr>
                <w:rFonts w:hint="eastAsia"/>
                <w:color w:val="auto"/>
                <w:sz w:val="24"/>
              </w:rPr>
              <w:t>，</w:t>
            </w:r>
            <w:r>
              <w:rPr>
                <w:color w:val="auto"/>
                <w:sz w:val="24"/>
              </w:rPr>
              <w:t>合计60m</w:t>
            </w:r>
            <w:r>
              <w:rPr>
                <w:rFonts w:hint="eastAsia"/>
                <w:color w:val="auto"/>
                <w:sz w:val="24"/>
                <w:vertAlign w:val="superscript"/>
              </w:rPr>
              <w:t>3</w:t>
            </w:r>
            <w:r>
              <w:rPr>
                <w:color w:val="auto"/>
                <w:sz w:val="24"/>
              </w:rPr>
              <w:t>/a，不产生废水。</w:t>
            </w:r>
          </w:p>
          <w:p>
            <w:pPr>
              <w:pStyle w:val="19"/>
              <w:widowControl w:val="0"/>
              <w:spacing w:before="0" w:beforeAutospacing="0" w:after="0" w:afterAutospacing="0" w:line="360" w:lineRule="auto"/>
              <w:ind w:left="420"/>
              <w:rPr>
                <w:rFonts w:hint="eastAsia"/>
                <w:color w:val="auto"/>
                <w:sz w:val="24"/>
              </w:rPr>
            </w:pPr>
            <w:r>
              <w:rPr>
                <w:rFonts w:hint="eastAsia" w:ascii="Times New Roman"/>
                <w:color w:val="auto"/>
                <w:kern w:val="2"/>
                <w:szCs w:val="24"/>
                <w:lang w:val="en-US" w:eastAsia="zh-CN"/>
              </w:rPr>
              <w:t>③</w:t>
            </w:r>
            <w:r>
              <w:rPr>
                <w:rFonts w:hint="eastAsia"/>
                <w:color w:val="auto"/>
                <w:sz w:val="24"/>
                <w:lang w:val="en-US" w:eastAsia="zh-CN"/>
              </w:rPr>
              <w:t>补充设备</w:t>
            </w:r>
            <w:r>
              <w:rPr>
                <w:rFonts w:hint="eastAsia"/>
                <w:color w:val="auto"/>
                <w:sz w:val="24"/>
              </w:rPr>
              <w:t>清洗用水</w:t>
            </w:r>
          </w:p>
          <w:p>
            <w:pPr>
              <w:adjustRightInd w:val="0"/>
              <w:snapToGrid w:val="0"/>
              <w:spacing w:line="360" w:lineRule="auto"/>
              <w:ind w:firstLine="480"/>
              <w:rPr>
                <w:rFonts w:ascii="Times New Roman"/>
                <w:color w:val="auto"/>
                <w:kern w:val="2"/>
                <w:szCs w:val="24"/>
              </w:rPr>
            </w:pPr>
            <w:r>
              <w:rPr>
                <w:rFonts w:hint="eastAsia"/>
                <w:color w:val="auto"/>
                <w:sz w:val="24"/>
                <w:szCs w:val="24"/>
              </w:rPr>
              <w:t>项目商品混凝土</w:t>
            </w:r>
            <w:r>
              <w:rPr>
                <w:color w:val="auto"/>
                <w:sz w:val="24"/>
                <w:szCs w:val="24"/>
              </w:rPr>
              <w:t>运输罐车及水泥、粉煤灰等原料罐车离开厂区时进行冲洗，</w:t>
            </w:r>
            <w:r>
              <w:rPr>
                <w:bCs/>
                <w:color w:val="auto"/>
                <w:sz w:val="24"/>
                <w:szCs w:val="24"/>
              </w:rPr>
              <w:t>搅拌机在暂时停止生产时必须冲洗干净</w:t>
            </w:r>
            <w:r>
              <w:rPr>
                <w:rFonts w:hint="eastAsia"/>
                <w:bCs/>
                <w:color w:val="auto"/>
                <w:sz w:val="24"/>
                <w:szCs w:val="24"/>
              </w:rPr>
              <w:t>。原料罐车</w:t>
            </w:r>
            <w:r>
              <w:rPr>
                <w:color w:val="auto"/>
                <w:sz w:val="24"/>
                <w:szCs w:val="24"/>
              </w:rPr>
              <w:t>用水量以0.85m</w:t>
            </w:r>
            <w:r>
              <w:rPr>
                <w:color w:val="auto"/>
                <w:sz w:val="24"/>
                <w:szCs w:val="24"/>
                <w:vertAlign w:val="superscript"/>
              </w:rPr>
              <w:t>3</w:t>
            </w:r>
            <w:r>
              <w:rPr>
                <w:color w:val="auto"/>
                <w:sz w:val="24"/>
                <w:szCs w:val="24"/>
              </w:rPr>
              <w:t>/车次计，项目每天离开厂区车次约为</w:t>
            </w:r>
            <w:r>
              <w:rPr>
                <w:rFonts w:hint="eastAsia"/>
                <w:color w:val="auto"/>
                <w:sz w:val="24"/>
                <w:szCs w:val="24"/>
              </w:rPr>
              <w:t>30</w:t>
            </w:r>
            <w:r>
              <w:rPr>
                <w:color w:val="auto"/>
                <w:sz w:val="24"/>
                <w:szCs w:val="24"/>
              </w:rPr>
              <w:t>次，则项目运输罐车冲洗用水量为</w:t>
            </w:r>
            <w:r>
              <w:rPr>
                <w:rFonts w:hint="eastAsia"/>
                <w:color w:val="auto"/>
                <w:sz w:val="24"/>
                <w:szCs w:val="24"/>
              </w:rPr>
              <w:t>25.5</w:t>
            </w:r>
            <w:r>
              <w:rPr>
                <w:color w:val="auto"/>
                <w:sz w:val="24"/>
                <w:szCs w:val="24"/>
              </w:rPr>
              <w:t>m</w:t>
            </w:r>
            <w:r>
              <w:rPr>
                <w:color w:val="auto"/>
                <w:sz w:val="24"/>
                <w:szCs w:val="24"/>
                <w:vertAlign w:val="superscript"/>
              </w:rPr>
              <w:t>3</w:t>
            </w:r>
            <w:r>
              <w:rPr>
                <w:color w:val="auto"/>
                <w:sz w:val="24"/>
                <w:szCs w:val="24"/>
              </w:rPr>
              <w:t>/d，</w:t>
            </w:r>
            <w:r>
              <w:rPr>
                <w:rFonts w:hint="eastAsia"/>
                <w:color w:val="auto"/>
                <w:sz w:val="24"/>
                <w:szCs w:val="24"/>
              </w:rPr>
              <w:t>7650</w:t>
            </w:r>
            <w:r>
              <w:rPr>
                <w:color w:val="auto"/>
                <w:sz w:val="24"/>
                <w:szCs w:val="24"/>
              </w:rPr>
              <w:t>m</w:t>
            </w:r>
            <w:r>
              <w:rPr>
                <w:color w:val="auto"/>
                <w:sz w:val="24"/>
                <w:szCs w:val="24"/>
                <w:vertAlign w:val="superscript"/>
              </w:rPr>
              <w:t>3</w:t>
            </w:r>
            <w:r>
              <w:rPr>
                <w:color w:val="auto"/>
                <w:sz w:val="24"/>
                <w:szCs w:val="24"/>
              </w:rPr>
              <w:t>/a</w:t>
            </w:r>
            <w:r>
              <w:rPr>
                <w:rFonts w:hint="eastAsia"/>
                <w:color w:val="auto"/>
                <w:sz w:val="24"/>
                <w:szCs w:val="24"/>
              </w:rPr>
              <w:t>；</w:t>
            </w:r>
            <w:r>
              <w:rPr>
                <w:bCs/>
                <w:color w:val="auto"/>
                <w:sz w:val="24"/>
                <w:szCs w:val="24"/>
              </w:rPr>
              <w:t>搅拌机冲洗用水量为65t/a，</w:t>
            </w:r>
            <w:r>
              <w:rPr>
                <w:color w:val="auto"/>
                <w:sz w:val="24"/>
                <w:szCs w:val="24"/>
              </w:rPr>
              <w:t>项目总清洗用水量为</w:t>
            </w:r>
            <w:r>
              <w:rPr>
                <w:rFonts w:hint="eastAsia"/>
                <w:color w:val="auto"/>
                <w:sz w:val="24"/>
                <w:szCs w:val="24"/>
              </w:rPr>
              <w:t>7715</w:t>
            </w:r>
            <w:r>
              <w:rPr>
                <w:color w:val="auto"/>
                <w:sz w:val="24"/>
                <w:szCs w:val="24"/>
              </w:rPr>
              <w:t>m</w:t>
            </w:r>
            <w:r>
              <w:rPr>
                <w:color w:val="auto"/>
                <w:sz w:val="24"/>
                <w:szCs w:val="24"/>
                <w:vertAlign w:val="superscript"/>
              </w:rPr>
              <w:t>3</w:t>
            </w:r>
            <w:r>
              <w:rPr>
                <w:color w:val="auto"/>
                <w:sz w:val="24"/>
                <w:szCs w:val="24"/>
              </w:rPr>
              <w:t>/a。</w:t>
            </w:r>
          </w:p>
          <w:p>
            <w:pPr>
              <w:pStyle w:val="19"/>
              <w:widowControl w:val="0"/>
              <w:spacing w:before="0" w:beforeAutospacing="0" w:after="0" w:afterAutospacing="0" w:line="360" w:lineRule="auto"/>
              <w:ind w:left="420"/>
              <w:rPr>
                <w:rFonts w:ascii="Times New Roman"/>
                <w:color w:val="auto"/>
                <w:kern w:val="2"/>
                <w:szCs w:val="24"/>
              </w:rPr>
            </w:pPr>
            <w:r>
              <w:rPr>
                <w:rFonts w:hint="eastAsia"/>
                <w:color w:val="auto"/>
                <w:sz w:val="24"/>
                <w:lang w:val="en-US" w:eastAsia="zh-CN"/>
              </w:rPr>
              <w:t>④</w:t>
            </w:r>
            <w:r>
              <w:rPr>
                <w:rFonts w:hint="eastAsia" w:ascii="Times New Roman"/>
                <w:color w:val="auto"/>
                <w:kern w:val="2"/>
                <w:szCs w:val="24"/>
              </w:rPr>
              <w:t>防尘用水</w:t>
            </w:r>
          </w:p>
          <w:p>
            <w:pPr>
              <w:pStyle w:val="19"/>
              <w:widowControl w:val="0"/>
              <w:spacing w:before="0" w:beforeAutospacing="0" w:after="0" w:afterAutospacing="0" w:line="360" w:lineRule="auto"/>
              <w:ind w:firstLine="480" w:firstLineChars="200"/>
              <w:rPr>
                <w:color w:val="auto"/>
                <w:sz w:val="24"/>
              </w:rPr>
            </w:pPr>
            <w:r>
              <w:rPr>
                <w:rFonts w:hint="eastAsia" w:ascii="Times New Roman"/>
                <w:color w:val="auto"/>
                <w:kern w:val="2"/>
                <w:szCs w:val="24"/>
              </w:rPr>
              <w:t>沙石堆场和运输道路为</w:t>
            </w:r>
            <w:r>
              <w:rPr>
                <w:rFonts w:hint="eastAsia" w:ascii="Times New Roman"/>
                <w:color w:val="auto"/>
                <w:kern w:val="2"/>
                <w:szCs w:val="24"/>
                <w:lang w:val="en-US" w:eastAsia="zh-CN"/>
              </w:rPr>
              <w:t>防治</w:t>
            </w:r>
            <w:r>
              <w:rPr>
                <w:rFonts w:hint="eastAsia" w:ascii="Times New Roman"/>
                <w:color w:val="auto"/>
                <w:kern w:val="2"/>
                <w:szCs w:val="24"/>
              </w:rPr>
              <w:t>扬尘，</w:t>
            </w:r>
            <w:r>
              <w:rPr>
                <w:rFonts w:hint="eastAsia" w:ascii="Times New Roman"/>
                <w:color w:val="auto"/>
                <w:kern w:val="2"/>
                <w:szCs w:val="24"/>
                <w:lang w:val="en-US" w:eastAsia="zh-CN"/>
              </w:rPr>
              <w:t>气候干燥时</w:t>
            </w:r>
            <w:r>
              <w:rPr>
                <w:rFonts w:hint="eastAsia" w:ascii="Times New Roman"/>
                <w:color w:val="auto"/>
                <w:kern w:val="2"/>
                <w:szCs w:val="24"/>
              </w:rPr>
              <w:t>适时喷水降尘，防尘用水年用量约300t/a。</w:t>
            </w:r>
          </w:p>
          <w:p>
            <w:pPr>
              <w:pStyle w:val="19"/>
              <w:widowControl w:val="0"/>
              <w:numPr>
                <w:ilvl w:val="0"/>
                <w:numId w:val="0"/>
              </w:numPr>
              <w:tabs>
                <w:tab w:val="left" w:pos="0"/>
              </w:tabs>
              <w:spacing w:before="0" w:beforeAutospacing="0" w:after="0" w:afterAutospacing="0" w:line="360" w:lineRule="auto"/>
              <w:ind w:left="420" w:leftChars="0"/>
              <w:rPr>
                <w:rFonts w:ascii="Times New Roman"/>
                <w:color w:val="auto"/>
                <w:kern w:val="2"/>
                <w:szCs w:val="24"/>
              </w:rPr>
            </w:pPr>
            <w:r>
              <w:rPr>
                <w:rFonts w:hint="eastAsia" w:ascii="Times New Roman"/>
                <w:color w:val="auto"/>
                <w:kern w:val="2"/>
                <w:szCs w:val="24"/>
                <w:lang w:val="en-US" w:eastAsia="zh-CN"/>
              </w:rPr>
              <w:t>⑤</w:t>
            </w:r>
            <w:r>
              <w:rPr>
                <w:rFonts w:hint="eastAsia" w:ascii="Times New Roman"/>
                <w:color w:val="auto"/>
                <w:kern w:val="2"/>
                <w:szCs w:val="24"/>
                <w:lang w:eastAsia="zh-CN"/>
              </w:rPr>
              <w:t>养护</w:t>
            </w:r>
            <w:r>
              <w:rPr>
                <w:rFonts w:hint="eastAsia" w:ascii="Times New Roman"/>
                <w:color w:val="auto"/>
                <w:kern w:val="2"/>
                <w:szCs w:val="24"/>
              </w:rPr>
              <w:t>用水</w:t>
            </w:r>
          </w:p>
          <w:p>
            <w:pPr>
              <w:pStyle w:val="19"/>
              <w:spacing w:before="0" w:beforeAutospacing="0" w:after="0" w:afterAutospacing="0" w:line="360" w:lineRule="auto"/>
              <w:ind w:left="-62" w:firstLine="482"/>
              <w:rPr>
                <w:rFonts w:hint="eastAsia" w:ascii="Times New Roman"/>
                <w:color w:val="auto"/>
                <w:kern w:val="2"/>
                <w:szCs w:val="24"/>
              </w:rPr>
            </w:pPr>
            <w:r>
              <w:rPr>
                <w:rFonts w:hint="eastAsia" w:ascii="Times New Roman"/>
                <w:color w:val="auto"/>
                <w:kern w:val="2"/>
                <w:szCs w:val="24"/>
              </w:rPr>
              <w:t>混凝土凝结硬化，主要是水泥水化作用的结果，水化作用需要适当的温度和湿度。如果混凝土中水分蒸发过快，形成脱水现象，会使已形成凝胶体的水泥颗粒不能充分水化，不能转化为稳定的结晶，缺乏足够的粘结力，从而会在表面出现片状或粉状脱落，甚至出现干缩裂纹。故需要进行养护，为水化作用提供条件，保证产品质量。该工序采用蒸汽调节温度，养护室采用蒸汽散热片供热，养护温度约55℃，养护时间约8小时，产生的冷凝水返回锅炉循环使用。</w:t>
            </w:r>
          </w:p>
          <w:p>
            <w:pPr>
              <w:pStyle w:val="34"/>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napToGrid/>
                <w:kern w:val="0"/>
                <w:sz w:val="24"/>
                <w:szCs w:val="24"/>
                <w:lang w:val="en-US" w:eastAsia="zh-CN" w:bidi="ar-SA"/>
              </w:rPr>
            </w:pPr>
            <w:r>
              <w:rPr>
                <w:rFonts w:hint="default" w:ascii="Times New Roman" w:hAnsi="Times New Roman" w:eastAsia="宋体" w:cs="Times New Roman"/>
                <w:snapToGrid/>
                <w:kern w:val="0"/>
                <w:sz w:val="24"/>
                <w:szCs w:val="24"/>
                <w:lang w:val="en-US" w:eastAsia="zh-CN" w:bidi="ar-SA"/>
              </w:rPr>
              <w:t>（2）排水</w:t>
            </w:r>
          </w:p>
          <w:p>
            <w:pPr>
              <w:numPr>
                <w:ilvl w:val="0"/>
                <w:numId w:val="4"/>
              </w:numPr>
              <w:spacing w:line="360" w:lineRule="auto"/>
              <w:ind w:firstLine="480" w:firstLineChars="200"/>
              <w:rPr>
                <w:rFonts w:hint="default" w:eastAsia="宋体"/>
                <w:color w:val="auto"/>
                <w:sz w:val="24"/>
                <w:szCs w:val="24"/>
                <w:lang w:val="en-US" w:eastAsia="zh-CN"/>
              </w:rPr>
            </w:pPr>
            <w:r>
              <w:rPr>
                <w:rFonts w:hint="eastAsia" w:ascii="Times New Roman" w:hAnsi="Times New Roman" w:eastAsia="宋体" w:cs="Times New Roman"/>
                <w:color w:val="auto"/>
                <w:kern w:val="2"/>
                <w:sz w:val="24"/>
                <w:szCs w:val="24"/>
                <w:lang w:val="en-US" w:eastAsia="zh-CN" w:bidi="ar-SA"/>
              </w:rPr>
              <w:t>本项目</w:t>
            </w:r>
            <w:r>
              <w:rPr>
                <w:rFonts w:hint="eastAsia" w:cs="Times New Roman"/>
                <w:color w:val="auto"/>
                <w:kern w:val="2"/>
                <w:sz w:val="24"/>
                <w:szCs w:val="24"/>
                <w:lang w:val="en-US" w:eastAsia="zh-CN" w:bidi="ar-SA"/>
              </w:rPr>
              <w:t>为</w:t>
            </w:r>
            <w:r>
              <w:rPr>
                <w:rFonts w:hint="eastAsia" w:ascii="Times New Roman" w:hAnsi="Times New Roman" w:eastAsia="宋体" w:cs="Times New Roman"/>
                <w:color w:val="auto"/>
                <w:kern w:val="2"/>
                <w:sz w:val="24"/>
                <w:szCs w:val="24"/>
                <w:lang w:val="en-US" w:eastAsia="zh-CN" w:bidi="ar-SA"/>
              </w:rPr>
              <w:t>扩建项目，不新增劳动定员，无新增生活污水外排。运营期</w:t>
            </w:r>
            <w:r>
              <w:rPr>
                <w:rFonts w:hint="eastAsia"/>
                <w:color w:val="auto"/>
                <w:sz w:val="24"/>
                <w:szCs w:val="24"/>
                <w:lang w:val="en-US" w:eastAsia="zh-CN"/>
              </w:rPr>
              <w:t>设备</w:t>
            </w:r>
            <w:r>
              <w:rPr>
                <w:rFonts w:hint="eastAsia" w:ascii="Times New Roman" w:hAnsi="Times New Roman" w:eastAsia="宋体" w:cs="Times New Roman"/>
                <w:color w:val="auto"/>
                <w:kern w:val="2"/>
                <w:sz w:val="24"/>
                <w:szCs w:val="24"/>
                <w:lang w:val="en-US" w:eastAsia="zh-CN" w:bidi="ar-SA"/>
              </w:rPr>
              <w:t>清洗废水进入沉淀池循环利用；锅炉软化水定期排水，排入项目区清洗水循环水池，</w:t>
            </w:r>
            <w:r>
              <w:rPr>
                <w:rFonts w:hint="eastAsia" w:cs="Times New Roman"/>
                <w:color w:val="auto"/>
                <w:kern w:val="2"/>
                <w:sz w:val="24"/>
                <w:szCs w:val="24"/>
                <w:lang w:val="en-US" w:eastAsia="zh-CN" w:bidi="ar-SA"/>
              </w:rPr>
              <w:t>全部用于</w:t>
            </w:r>
            <w:r>
              <w:rPr>
                <w:rFonts w:hint="eastAsia" w:ascii="Times New Roman" w:hAnsi="Times New Roman" w:eastAsia="宋体" w:cs="Times New Roman"/>
                <w:color w:val="auto"/>
                <w:kern w:val="2"/>
                <w:sz w:val="24"/>
                <w:szCs w:val="24"/>
                <w:lang w:val="en-US" w:eastAsia="zh-CN" w:bidi="ar-SA"/>
              </w:rPr>
              <w:t>补充</w:t>
            </w:r>
            <w:r>
              <w:rPr>
                <w:rFonts w:hint="eastAsia"/>
                <w:color w:val="auto"/>
                <w:sz w:val="24"/>
                <w:szCs w:val="24"/>
                <w:lang w:val="en-US" w:eastAsia="zh-CN"/>
              </w:rPr>
              <w:t>设备及运输罐车</w:t>
            </w:r>
            <w:r>
              <w:rPr>
                <w:rFonts w:hint="eastAsia"/>
                <w:color w:val="auto"/>
                <w:sz w:val="24"/>
                <w:szCs w:val="24"/>
              </w:rPr>
              <w:t>清洗</w:t>
            </w:r>
            <w:r>
              <w:rPr>
                <w:rFonts w:hint="eastAsia"/>
                <w:color w:val="auto"/>
                <w:sz w:val="24"/>
                <w:szCs w:val="24"/>
                <w:lang w:val="en-US" w:eastAsia="zh-CN"/>
              </w:rPr>
              <w:t>用水。</w:t>
            </w:r>
          </w:p>
          <w:p>
            <w:pPr>
              <w:pStyle w:val="34"/>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napToGrid/>
                <w:kern w:val="0"/>
                <w:sz w:val="24"/>
                <w:szCs w:val="24"/>
                <w:lang w:val="en-US" w:eastAsia="zh-CN" w:bidi="ar-SA"/>
              </w:rPr>
            </w:pPr>
            <w:r>
              <w:rPr>
                <w:rFonts w:hint="default" w:ascii="Times New Roman" w:hAnsi="Times New Roman" w:eastAsia="宋体" w:cs="Times New Roman"/>
                <w:snapToGrid/>
                <w:kern w:val="0"/>
                <w:sz w:val="24"/>
                <w:szCs w:val="24"/>
                <w:lang w:val="en-US" w:eastAsia="zh-CN" w:bidi="ar-SA"/>
              </w:rPr>
              <w:t>（3）供电</w:t>
            </w:r>
          </w:p>
          <w:p>
            <w:pPr>
              <w:spacing w:line="360" w:lineRule="auto"/>
              <w:ind w:firstLine="480" w:firstLineChars="200"/>
              <w:rPr>
                <w:rFonts w:hint="default" w:ascii="Times New Roman" w:hAnsi="Times New Roman" w:eastAsia="宋体" w:cs="Times New Roman"/>
                <w:snapToGrid/>
                <w:kern w:val="0"/>
                <w:sz w:val="24"/>
                <w:szCs w:val="24"/>
                <w:lang w:val="en-US" w:eastAsia="zh-CN" w:bidi="ar-SA"/>
              </w:rPr>
            </w:pPr>
            <w:r>
              <w:rPr>
                <w:color w:val="auto"/>
                <w:sz w:val="24"/>
              </w:rPr>
              <w:t>项目用电量约5</w:t>
            </w:r>
            <w:r>
              <w:rPr>
                <w:rFonts w:hint="eastAsia"/>
                <w:color w:val="auto"/>
                <w:sz w:val="24"/>
                <w:lang w:val="en-US" w:eastAsia="zh-CN"/>
              </w:rPr>
              <w:t>3.27</w:t>
            </w:r>
            <w:r>
              <w:rPr>
                <w:color w:val="auto"/>
                <w:sz w:val="24"/>
              </w:rPr>
              <w:t>万kWh，用电由</w:t>
            </w:r>
            <w:r>
              <w:rPr>
                <w:rFonts w:hint="eastAsia"/>
                <w:color w:val="auto"/>
                <w:sz w:val="24"/>
              </w:rPr>
              <w:t>国家电网</w:t>
            </w:r>
            <w:r>
              <w:rPr>
                <w:color w:val="auto"/>
                <w:sz w:val="24"/>
              </w:rPr>
              <w:t>统一供应</w:t>
            </w:r>
            <w:r>
              <w:rPr>
                <w:rFonts w:hint="default" w:ascii="Times New Roman" w:hAnsi="Times New Roman" w:eastAsia="宋体" w:cs="Times New Roman"/>
                <w:snapToGrid/>
                <w:kern w:val="0"/>
                <w:sz w:val="24"/>
                <w:szCs w:val="24"/>
                <w:lang w:val="en-US" w:eastAsia="zh-CN" w:bidi="ar-SA"/>
              </w:rPr>
              <w:t>，能满足项目区生产及生活用电需要。</w:t>
            </w:r>
          </w:p>
          <w:p>
            <w:pPr>
              <w:pStyle w:val="34"/>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napToGrid/>
                <w:kern w:val="0"/>
                <w:sz w:val="24"/>
                <w:szCs w:val="24"/>
                <w:lang w:val="en-US" w:eastAsia="zh-CN" w:bidi="ar-SA"/>
              </w:rPr>
            </w:pPr>
            <w:r>
              <w:rPr>
                <w:rFonts w:hint="default" w:ascii="Times New Roman" w:hAnsi="Times New Roman" w:eastAsia="宋体" w:cs="Times New Roman"/>
                <w:snapToGrid/>
                <w:kern w:val="0"/>
                <w:sz w:val="24"/>
                <w:szCs w:val="24"/>
                <w:lang w:val="en-US" w:eastAsia="zh-CN" w:bidi="ar-SA"/>
              </w:rPr>
              <w:t>（4）供暖</w:t>
            </w:r>
          </w:p>
          <w:p>
            <w:pPr>
              <w:pStyle w:val="34"/>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napToGrid/>
                <w:kern w:val="0"/>
                <w:sz w:val="24"/>
                <w:szCs w:val="24"/>
                <w:lang w:val="en-US" w:eastAsia="zh-CN" w:bidi="ar-SA"/>
              </w:rPr>
            </w:pPr>
            <w:r>
              <w:rPr>
                <w:rFonts w:hint="default" w:ascii="Times New Roman" w:hAnsi="Times New Roman" w:cs="Times New Roman"/>
                <w:color w:val="auto"/>
                <w:sz w:val="24"/>
                <w:szCs w:val="24"/>
              </w:rPr>
              <w:t>本项目在冬季属淡季，办公取暖的热源由电热水炉供给</w:t>
            </w:r>
            <w:r>
              <w:rPr>
                <w:rFonts w:hint="default" w:ascii="Times New Roman" w:hAnsi="Times New Roman" w:eastAsia="宋体" w:cs="Times New Roman"/>
                <w:snapToGrid/>
                <w:kern w:val="0"/>
                <w:sz w:val="24"/>
                <w:szCs w:val="24"/>
                <w:lang w:val="en-US" w:eastAsia="zh-CN" w:bidi="ar-SA"/>
              </w:rPr>
              <w:t>。</w:t>
            </w:r>
          </w:p>
          <w:p>
            <w:pPr>
              <w:pStyle w:val="34"/>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napToGrid/>
                <w:kern w:val="0"/>
                <w:sz w:val="24"/>
                <w:szCs w:val="24"/>
                <w:lang w:val="en-US" w:eastAsia="zh-CN" w:bidi="ar-SA"/>
              </w:rPr>
            </w:pPr>
            <w:r>
              <w:rPr>
                <w:rFonts w:hint="default" w:ascii="Times New Roman" w:hAnsi="Times New Roman" w:eastAsia="宋体" w:cs="Times New Roman"/>
                <w:snapToGrid/>
                <w:kern w:val="0"/>
                <w:sz w:val="24"/>
                <w:szCs w:val="24"/>
                <w:lang w:val="en-US" w:eastAsia="zh-CN" w:bidi="ar-SA"/>
              </w:rPr>
              <w:t>（5）通风</w:t>
            </w:r>
          </w:p>
          <w:p>
            <w:pPr>
              <w:pStyle w:val="34"/>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napToGrid/>
                <w:color w:val="auto"/>
                <w:kern w:val="0"/>
                <w:sz w:val="24"/>
                <w:szCs w:val="24"/>
                <w:lang w:val="en-US" w:eastAsia="zh-CN" w:bidi="ar-SA"/>
              </w:rPr>
            </w:pPr>
            <w:r>
              <w:rPr>
                <w:rFonts w:hint="default" w:ascii="Times New Roman" w:hAnsi="Times New Roman" w:eastAsia="宋体" w:cs="Times New Roman"/>
                <w:snapToGrid/>
                <w:color w:val="auto"/>
                <w:kern w:val="0"/>
                <w:sz w:val="24"/>
                <w:szCs w:val="24"/>
                <w:lang w:val="en-US" w:eastAsia="zh-CN" w:bidi="ar-SA"/>
              </w:rPr>
              <w:t>车间设自然通风方式进行换气，在车间温度较高处设屋顶风机进行换气。</w:t>
            </w:r>
          </w:p>
          <w:p>
            <w:pPr>
              <w:pStyle w:val="34"/>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napToGrid/>
                <w:kern w:val="0"/>
                <w:sz w:val="24"/>
                <w:szCs w:val="24"/>
                <w:lang w:val="en-US" w:eastAsia="zh-CN" w:bidi="ar-SA"/>
              </w:rPr>
            </w:pPr>
            <w:r>
              <w:rPr>
                <w:rFonts w:hint="default" w:ascii="Times New Roman" w:hAnsi="Times New Roman" w:eastAsia="宋体" w:cs="Times New Roman"/>
                <w:snapToGrid/>
                <w:kern w:val="0"/>
                <w:sz w:val="24"/>
                <w:szCs w:val="24"/>
                <w:lang w:val="en-US" w:eastAsia="zh-CN" w:bidi="ar-SA"/>
              </w:rPr>
              <w:t>（6）交通</w:t>
            </w:r>
          </w:p>
          <w:p>
            <w:pPr>
              <w:pStyle w:val="34"/>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napToGrid/>
                <w:kern w:val="0"/>
                <w:sz w:val="24"/>
                <w:szCs w:val="24"/>
                <w:lang w:val="en-US" w:eastAsia="zh-CN" w:bidi="ar-SA"/>
              </w:rPr>
            </w:pPr>
            <w:r>
              <w:rPr>
                <w:rFonts w:hint="default" w:ascii="Times New Roman" w:hAnsi="Times New Roman" w:eastAsia="宋体" w:cs="Times New Roman"/>
                <w:snapToGrid/>
                <w:kern w:val="0"/>
                <w:sz w:val="24"/>
                <w:szCs w:val="24"/>
                <w:lang w:val="en-US" w:eastAsia="zh-CN" w:bidi="ar-SA"/>
              </w:rPr>
              <w:t>项目区西侧为</w:t>
            </w:r>
            <w:r>
              <w:rPr>
                <w:rFonts w:hint="eastAsia" w:ascii="Times New Roman" w:hAnsi="Times New Roman" w:eastAsia="宋体" w:cs="Times New Roman"/>
                <w:snapToGrid/>
                <w:kern w:val="0"/>
                <w:sz w:val="24"/>
                <w:szCs w:val="24"/>
                <w:lang w:val="en-US" w:eastAsia="zh-CN" w:bidi="ar-SA"/>
              </w:rPr>
              <w:t>G218国道</w:t>
            </w:r>
            <w:r>
              <w:rPr>
                <w:rFonts w:hint="default" w:ascii="Times New Roman" w:hAnsi="Times New Roman" w:eastAsia="宋体" w:cs="Times New Roman"/>
                <w:snapToGrid/>
                <w:kern w:val="0"/>
                <w:sz w:val="24"/>
                <w:szCs w:val="24"/>
                <w:lang w:val="en-US" w:eastAsia="zh-CN" w:bidi="ar-SA"/>
              </w:rPr>
              <w:t>，交通便利，运输条件良好。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3.8、环保投资</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eastAsia="宋体" w:cs="Times New Roman"/>
                <w:kern w:val="0"/>
                <w:sz w:val="24"/>
                <w:szCs w:val="24"/>
                <w:highlight w:val="none"/>
                <w:lang w:val="en-US" w:eastAsia="zh-CN" w:bidi="ar-SA"/>
              </w:rPr>
            </w:pPr>
            <w:r>
              <w:rPr>
                <w:rFonts w:hint="default" w:ascii="Times New Roman" w:hAnsi="Times New Roman" w:eastAsia="宋体" w:cs="Times New Roman"/>
                <w:bCs/>
                <w:color w:val="auto"/>
                <w:kern w:val="0"/>
                <w:sz w:val="24"/>
                <w:szCs w:val="24"/>
                <w:highlight w:val="none"/>
                <w:lang w:val="en-US" w:eastAsia="zh-CN" w:bidi="ar-SA"/>
              </w:rPr>
              <w:t>项目实际总投资</w:t>
            </w:r>
            <w:r>
              <w:rPr>
                <w:rFonts w:hint="eastAsia" w:ascii="Times New Roman" w:hAnsi="Times New Roman" w:eastAsia="宋体" w:cs="Times New Roman"/>
                <w:bCs/>
                <w:color w:val="auto"/>
                <w:kern w:val="0"/>
                <w:sz w:val="24"/>
                <w:szCs w:val="24"/>
                <w:highlight w:val="none"/>
                <w:lang w:val="en-US" w:eastAsia="zh-CN" w:bidi="ar-SA"/>
              </w:rPr>
              <w:t>10000</w:t>
            </w:r>
            <w:r>
              <w:rPr>
                <w:rFonts w:hint="default" w:ascii="Times New Roman" w:hAnsi="Times New Roman" w:eastAsia="宋体" w:cs="Times New Roman"/>
                <w:bCs/>
                <w:color w:val="auto"/>
                <w:kern w:val="0"/>
                <w:sz w:val="24"/>
                <w:szCs w:val="24"/>
                <w:highlight w:val="none"/>
                <w:lang w:val="en-US" w:eastAsia="zh-CN" w:bidi="ar-SA"/>
              </w:rPr>
              <w:t>万元，其中环保投资</w:t>
            </w:r>
            <w:r>
              <w:rPr>
                <w:rFonts w:hint="eastAsia" w:ascii="Times New Roman" w:hAnsi="Times New Roman" w:eastAsia="宋体" w:cs="Times New Roman"/>
                <w:bCs/>
                <w:color w:val="auto"/>
                <w:kern w:val="0"/>
                <w:sz w:val="24"/>
                <w:szCs w:val="24"/>
                <w:highlight w:val="none"/>
                <w:lang w:val="en-US" w:eastAsia="zh-CN" w:bidi="ar-SA"/>
              </w:rPr>
              <w:t>125</w:t>
            </w:r>
            <w:r>
              <w:rPr>
                <w:rFonts w:hint="default" w:ascii="Times New Roman" w:hAnsi="Times New Roman" w:eastAsia="宋体" w:cs="Times New Roman"/>
                <w:bCs/>
                <w:color w:val="auto"/>
                <w:kern w:val="0"/>
                <w:sz w:val="24"/>
                <w:szCs w:val="24"/>
                <w:highlight w:val="none"/>
                <w:lang w:val="en-US" w:eastAsia="zh-CN" w:bidi="ar-SA"/>
              </w:rPr>
              <w:t>万元，占总投资的1.25%。</w:t>
            </w:r>
          </w:p>
        </w:tc>
      </w:tr>
    </w:tbl>
    <w:p>
      <w:pPr>
        <w:rPr>
          <w:rFonts w:hint="default" w:ascii="Times New Roman" w:hAnsi="Times New Roman" w:eastAsia="宋体" w:cs="Times New Roman"/>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bookmarkStart w:id="1" w:name="_Toc6506"/>
    </w:p>
    <w:p>
      <w:pPr>
        <w:pStyle w:val="3"/>
        <w:spacing w:before="0" w:after="0" w:line="240" w:lineRule="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表二主要生产工艺及污染物产出流程</w:t>
      </w:r>
      <w:bookmarkEnd w:id="1"/>
    </w:p>
    <w:tbl>
      <w:tblPr>
        <w:tblStyle w:val="23"/>
        <w:tblW w:w="8522"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2759" w:hRule="atLeast"/>
        </w:trPr>
        <w:tc>
          <w:tcPr>
            <w:tcW w:w="8522" w:type="dxa"/>
          </w:tcPr>
          <w:p>
            <w:pPr>
              <w:adjustRightInd w:val="0"/>
              <w:spacing w:line="360" w:lineRule="auto"/>
              <w:textAlignment w:val="baseline"/>
              <w:rPr>
                <w:b/>
                <w:bCs/>
                <w:color w:val="auto"/>
                <w:sz w:val="24"/>
                <w:szCs w:val="24"/>
              </w:rPr>
            </w:pPr>
            <w:r>
              <w:rPr>
                <w:rFonts w:hint="eastAsia"/>
                <w:b/>
                <w:bCs/>
                <w:color w:val="auto"/>
                <w:sz w:val="24"/>
                <w:szCs w:val="24"/>
              </w:rPr>
              <w:t>一、</w:t>
            </w:r>
            <w:r>
              <w:rPr>
                <w:rFonts w:hint="eastAsia"/>
                <w:b/>
                <w:bCs/>
                <w:color w:val="auto"/>
                <w:sz w:val="24"/>
                <w:szCs w:val="24"/>
                <w:lang w:eastAsia="zh-CN"/>
              </w:rPr>
              <w:t>免拆模板复合保温墙板</w:t>
            </w:r>
            <w:r>
              <w:rPr>
                <w:b/>
                <w:bCs/>
                <w:color w:val="auto"/>
                <w:sz w:val="24"/>
                <w:szCs w:val="24"/>
              </w:rPr>
              <w:t>生产线：</w:t>
            </w:r>
          </w:p>
          <w:p>
            <w:pPr>
              <w:adjustRightInd w:val="0"/>
              <w:spacing w:line="360" w:lineRule="auto"/>
              <w:ind w:firstLine="480" w:firstLineChars="200"/>
              <w:textAlignment w:val="baseline"/>
              <w:rPr>
                <w:color w:val="auto"/>
                <w:sz w:val="24"/>
                <w:szCs w:val="24"/>
              </w:rPr>
            </w:pPr>
            <w:r>
              <w:rPr>
                <w:color w:val="auto"/>
                <w:sz w:val="24"/>
                <w:szCs w:val="24"/>
              </w:rPr>
              <w:t>本项目生产线工艺流程以及污染物产生环节图如下：</w:t>
            </w:r>
          </w:p>
          <w:p>
            <w:pPr>
              <w:pStyle w:val="22"/>
              <w:ind w:left="0" w:leftChars="0" w:firstLine="0" w:firstLineChars="0"/>
              <w:rPr>
                <w:rFonts w:hint="default"/>
                <w:color w:val="auto"/>
                <w:lang w:val="en-US" w:eastAsia="zh-CN"/>
              </w:rPr>
            </w:pPr>
            <w:r>
              <w:rPr>
                <w:color w:val="auto"/>
              </w:rPr>
              <mc:AlternateContent>
                <mc:Choice Requires="wpc">
                  <w:drawing>
                    <wp:inline distT="0" distB="0" distL="114300" distR="114300">
                      <wp:extent cx="5045075" cy="4803775"/>
                      <wp:effectExtent l="0" t="5080" r="0" b="0"/>
                      <wp:docPr id="123" name="画布 123"/>
                      <wp:cNvGraphicFramePr/>
                      <a:graphic xmlns:a="http://schemas.openxmlformats.org/drawingml/2006/main">
                        <a:graphicData uri="http://schemas.microsoft.com/office/word/2010/wordprocessingCanvas">
                          <wpc:wpc>
                            <wpc:bg>
                              <a:noFill/>
                            </wpc:bg>
                            <wpc:whole>
                              <a:ln>
                                <a:noFill/>
                              </a:ln>
                            </wpc:whole>
                            <wps:wsp>
                              <wps:cNvPr id="87" name="文本框 87"/>
                              <wps:cNvSpPr txBox="1"/>
                              <wps:spPr>
                                <a:xfrm>
                                  <a:off x="2001520" y="579120"/>
                                  <a:ext cx="857250" cy="2647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开设凹槽</w:t>
                                    </w:r>
                                  </w:p>
                                </w:txbxContent>
                              </wps:txbx>
                              <wps:bodyPr upright="1"/>
                            </wps:wsp>
                            <wps:wsp>
                              <wps:cNvPr id="88" name="文本框 88"/>
                              <wps:cNvSpPr txBox="1"/>
                              <wps:spPr>
                                <a:xfrm>
                                  <a:off x="1841500" y="0"/>
                                  <a:ext cx="1095375" cy="2647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default" w:eastAsia="宋体"/>
                                        <w:lang w:val="en-US" w:eastAsia="zh-CN"/>
                                      </w:rPr>
                                    </w:pPr>
                                    <w:r>
                                      <w:rPr>
                                        <w:rFonts w:hint="eastAsia"/>
                                        <w:lang w:val="en-US" w:eastAsia="zh-CN"/>
                                      </w:rPr>
                                      <w:t>XPS板切割</w:t>
                                    </w:r>
                                  </w:p>
                                </w:txbxContent>
                              </wps:txbx>
                              <wps:bodyPr upright="1"/>
                            </wps:wsp>
                            <wps:wsp>
                              <wps:cNvPr id="91" name="文本框 91"/>
                              <wps:cNvSpPr txBox="1"/>
                              <wps:spPr>
                                <a:xfrm>
                                  <a:off x="1574165" y="1125855"/>
                                  <a:ext cx="1647190" cy="264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铺设内侧粘结加强层</w:t>
                                    </w:r>
                                  </w:p>
                                </w:txbxContent>
                              </wps:txbx>
                              <wps:bodyPr upright="1"/>
                            </wps:wsp>
                            <wps:wsp>
                              <wps:cNvPr id="93" name="文本框 93"/>
                              <wps:cNvSpPr txBox="1"/>
                              <wps:spPr>
                                <a:xfrm>
                                  <a:off x="1617980" y="1672590"/>
                                  <a:ext cx="1266825" cy="2647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铺设加强钢筋网架</w:t>
                                    </w:r>
                                  </w:p>
                                </w:txbxContent>
                              </wps:txbx>
                              <wps:bodyPr upright="1"/>
                            </wps:wsp>
                            <wps:wsp>
                              <wps:cNvPr id="96" name="文本框 96"/>
                              <wps:cNvSpPr txBox="1"/>
                              <wps:spPr>
                                <a:xfrm>
                                  <a:off x="1988820" y="2218690"/>
                                  <a:ext cx="923925" cy="2647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铺设粘结层</w:t>
                                    </w:r>
                                  </w:p>
                                </w:txbxContent>
                              </wps:txbx>
                              <wps:bodyPr upright="1"/>
                            </wps:wsp>
                            <wps:wsp>
                              <wps:cNvPr id="97" name="直接连接符 97"/>
                              <wps:cNvCnPr/>
                              <wps:spPr>
                                <a:xfrm flipH="1">
                                  <a:off x="1142365" y="1246505"/>
                                  <a:ext cx="456565" cy="9525"/>
                                </a:xfrm>
                                <a:prstGeom prst="line">
                                  <a:avLst/>
                                </a:prstGeom>
                                <a:ln w="19050" cap="flat" cmpd="sng">
                                  <a:solidFill>
                                    <a:srgbClr val="000000"/>
                                  </a:solidFill>
                                  <a:prstDash val="dash"/>
                                  <a:headEnd type="none" w="med" len="med"/>
                                  <a:tailEnd type="triangle" w="med" len="med"/>
                                </a:ln>
                              </wps:spPr>
                              <wps:bodyPr upright="1"/>
                            </wps:wsp>
                            <wps:wsp>
                              <wps:cNvPr id="99" name="文本框 99"/>
                              <wps:cNvSpPr txBox="1"/>
                              <wps:spPr>
                                <a:xfrm>
                                  <a:off x="265430" y="1132205"/>
                                  <a:ext cx="889635" cy="279399"/>
                                </a:xfrm>
                                <a:prstGeom prst="rect">
                                  <a:avLst/>
                                </a:prstGeom>
                                <a:noFill/>
                                <a:ln w="9525" cap="flat" cmpd="sng">
                                  <a:solidFill>
                                    <a:srgbClr val="000000"/>
                                  </a:solidFill>
                                  <a:prstDash val="dash"/>
                                  <a:miter/>
                                  <a:headEnd type="none" w="med" len="med"/>
                                  <a:tailEnd type="none" w="med" len="med"/>
                                </a:ln>
                              </wps:spPr>
                              <wps:txbx>
                                <w:txbxContent>
                                  <w:p>
                                    <w:pPr>
                                      <w:jc w:val="center"/>
                                    </w:pPr>
                                    <w:r>
                                      <w:rPr>
                                        <w:rFonts w:hint="eastAsia"/>
                                        <w:lang w:val="en-US" w:eastAsia="zh-CN"/>
                                      </w:rPr>
                                      <w:t>噪声、</w:t>
                                    </w:r>
                                    <w:r>
                                      <w:rPr>
                                        <w:rFonts w:hint="eastAsia"/>
                                      </w:rPr>
                                      <w:t>固废</w:t>
                                    </w:r>
                                  </w:p>
                                </w:txbxContent>
                              </wps:txbx>
                              <wps:bodyPr upright="1"/>
                            </wps:wsp>
                            <wps:wsp>
                              <wps:cNvPr id="102" name="文本框 102"/>
                              <wps:cNvSpPr txBox="1"/>
                              <wps:spPr>
                                <a:xfrm>
                                  <a:off x="1827530" y="2799080"/>
                                  <a:ext cx="1219200" cy="283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铺设保温过渡层</w:t>
                                    </w:r>
                                  </w:p>
                                </w:txbxContent>
                              </wps:txbx>
                              <wps:bodyPr upright="1"/>
                            </wps:wsp>
                            <wps:wsp>
                              <wps:cNvPr id="104" name="文本框 104"/>
                              <wps:cNvSpPr txBox="1"/>
                              <wps:spPr>
                                <a:xfrm>
                                  <a:off x="1694180" y="3342005"/>
                                  <a:ext cx="1673225" cy="314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铺设外侧粘结加强层</w:t>
                                    </w:r>
                                  </w:p>
                                </w:txbxContent>
                              </wps:txbx>
                              <wps:bodyPr upright="1"/>
                            </wps:wsp>
                            <wps:wsp>
                              <wps:cNvPr id="105" name="直接连接符 105"/>
                              <wps:cNvCnPr/>
                              <wps:spPr>
                                <a:xfrm flipH="1" flipV="1">
                                  <a:off x="3369945" y="3484245"/>
                                  <a:ext cx="413385" cy="10160"/>
                                </a:xfrm>
                                <a:prstGeom prst="line">
                                  <a:avLst/>
                                </a:prstGeom>
                                <a:ln w="19050" cap="flat" cmpd="sng">
                                  <a:solidFill>
                                    <a:srgbClr val="000000"/>
                                  </a:solidFill>
                                  <a:prstDash val="solid"/>
                                  <a:headEnd type="none" w="med" len="med"/>
                                  <a:tailEnd type="triangle" w="med" len="med"/>
                                </a:ln>
                              </wps:spPr>
                              <wps:bodyPr upright="1"/>
                            </wps:wsp>
                            <wps:wsp>
                              <wps:cNvPr id="106" name="文本框 106"/>
                              <wps:cNvSpPr txBox="1"/>
                              <wps:spPr>
                                <a:xfrm>
                                  <a:off x="3780155" y="3361055"/>
                                  <a:ext cx="939800" cy="3067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val="en-US" w:eastAsia="zh-CN"/>
                                      </w:rPr>
                                    </w:pPr>
                                    <w:r>
                                      <w:rPr>
                                        <w:rFonts w:hint="eastAsia"/>
                                        <w:lang w:val="en-US" w:eastAsia="zh-CN"/>
                                      </w:rPr>
                                      <w:t>耐碱玻纤网</w:t>
                                    </w:r>
                                  </w:p>
                                </w:txbxContent>
                              </wps:txbx>
                              <wps:bodyPr upright="1"/>
                            </wps:wsp>
                            <wps:wsp>
                              <wps:cNvPr id="107" name="直接连接符 107"/>
                              <wps:cNvCnPr/>
                              <wps:spPr>
                                <a:xfrm flipV="1">
                                  <a:off x="1169670" y="3474085"/>
                                  <a:ext cx="499745" cy="2540"/>
                                </a:xfrm>
                                <a:prstGeom prst="line">
                                  <a:avLst/>
                                </a:prstGeom>
                                <a:ln w="19050" cap="flat" cmpd="sng">
                                  <a:solidFill>
                                    <a:srgbClr val="000000"/>
                                  </a:solidFill>
                                  <a:prstDash val="solid"/>
                                  <a:headEnd type="none" w="med" len="med"/>
                                  <a:tailEnd type="triangle" w="med" len="med"/>
                                </a:ln>
                              </wps:spPr>
                              <wps:bodyPr upright="1"/>
                            </wps:wsp>
                            <wps:wsp>
                              <wps:cNvPr id="108" name="文本框 108"/>
                              <wps:cNvSpPr txBox="1"/>
                              <wps:spPr>
                                <a:xfrm>
                                  <a:off x="46355" y="3246755"/>
                                  <a:ext cx="1139190" cy="705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1"/>
                                        <w:szCs w:val="21"/>
                                        <w:lang w:val="en-US" w:eastAsia="zh-CN"/>
                                      </w:rPr>
                                    </w:pPr>
                                    <w:r>
                                      <w:rPr>
                                        <w:rFonts w:hint="eastAsia" w:eastAsia="宋体"/>
                                        <w:sz w:val="21"/>
                                        <w:szCs w:val="21"/>
                                        <w:lang w:val="en-US" w:eastAsia="zh-CN"/>
                                      </w:rPr>
                                      <w:t>聚合物水泥砂浆</w:t>
                                    </w:r>
                                  </w:p>
                                  <w:p>
                                    <w:pPr>
                                      <w:pStyle w:val="22"/>
                                      <w:ind w:left="0" w:leftChars="0" w:firstLine="0" w:firstLineChars="0"/>
                                      <w:rPr>
                                        <w:rFonts w:hint="default"/>
                                        <w:sz w:val="21"/>
                                        <w:szCs w:val="21"/>
                                        <w:lang w:val="en-US" w:eastAsia="zh-CN"/>
                                      </w:rPr>
                                    </w:pPr>
                                    <w:r>
                                      <w:rPr>
                                        <w:rFonts w:hint="eastAsia" w:eastAsia="宋体"/>
                                        <w:sz w:val="21"/>
                                        <w:szCs w:val="21"/>
                                        <w:lang w:val="en-US" w:eastAsia="zh-CN"/>
                                      </w:rPr>
                                      <w:t>保温砂浆</w:t>
                                    </w:r>
                                  </w:p>
                                </w:txbxContent>
                              </wps:txbx>
                              <wps:bodyPr upright="1"/>
                            </wps:wsp>
                            <wps:wsp>
                              <wps:cNvPr id="110" name="文本框 110"/>
                              <wps:cNvSpPr txBox="1"/>
                              <wps:spPr>
                                <a:xfrm>
                                  <a:off x="2037080" y="3865880"/>
                                  <a:ext cx="914400"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自然养护</w:t>
                                    </w:r>
                                  </w:p>
                                </w:txbxContent>
                              </wps:txbx>
                              <wps:bodyPr upright="1"/>
                            </wps:wsp>
                            <wps:wsp>
                              <wps:cNvPr id="111" name="直接连接符 111"/>
                              <wps:cNvCnPr/>
                              <wps:spPr>
                                <a:xfrm>
                                  <a:off x="2465705" y="4123055"/>
                                  <a:ext cx="0" cy="292100"/>
                                </a:xfrm>
                                <a:prstGeom prst="line">
                                  <a:avLst/>
                                </a:prstGeom>
                                <a:ln w="19050" cap="flat" cmpd="sng">
                                  <a:solidFill>
                                    <a:srgbClr val="000000"/>
                                  </a:solidFill>
                                  <a:prstDash val="solid"/>
                                  <a:headEnd type="none" w="med" len="med"/>
                                  <a:tailEnd type="triangle" w="med" len="med"/>
                                </a:ln>
                              </wps:spPr>
                              <wps:bodyPr upright="1"/>
                            </wps:wsp>
                            <wps:wsp>
                              <wps:cNvPr id="112" name="直接连接符 112"/>
                              <wps:cNvCnPr/>
                              <wps:spPr>
                                <a:xfrm>
                                  <a:off x="3256280" y="3608705"/>
                                  <a:ext cx="12700" cy="317500"/>
                                </a:xfrm>
                                <a:prstGeom prst="line">
                                  <a:avLst/>
                                </a:prstGeom>
                                <a:ln w="19050" cap="flat" cmpd="sng">
                                  <a:solidFill>
                                    <a:srgbClr val="000000"/>
                                  </a:solidFill>
                                  <a:prstDash val="dash"/>
                                  <a:headEnd type="none" w="med" len="med"/>
                                  <a:tailEnd type="triangle" w="med" len="med"/>
                                </a:ln>
                              </wps:spPr>
                              <wps:bodyPr upright="1"/>
                            </wps:wsp>
                            <wps:wsp>
                              <wps:cNvPr id="113" name="文本框 113"/>
                              <wps:cNvSpPr txBox="1"/>
                              <wps:spPr>
                                <a:xfrm>
                                  <a:off x="3094355" y="3932555"/>
                                  <a:ext cx="889000" cy="279400"/>
                                </a:xfrm>
                                <a:prstGeom prst="rect">
                                  <a:avLst/>
                                </a:prstGeom>
                                <a:noFill/>
                                <a:ln w="9525" cap="flat" cmpd="sng">
                                  <a:solidFill>
                                    <a:srgbClr val="000000"/>
                                  </a:solidFill>
                                  <a:prstDash val="dash"/>
                                  <a:miter/>
                                  <a:headEnd type="none" w="med" len="med"/>
                                  <a:tailEnd type="none" w="med" len="med"/>
                                </a:ln>
                              </wps:spPr>
                              <wps:txbx>
                                <w:txbxContent>
                                  <w:p>
                                    <w:pPr>
                                      <w:jc w:val="center"/>
                                    </w:pPr>
                                    <w:r>
                                      <w:rPr>
                                        <w:rFonts w:hint="eastAsia"/>
                                        <w:lang w:val="en-US" w:eastAsia="zh-CN"/>
                                      </w:rPr>
                                      <w:t>噪声、</w:t>
                                    </w:r>
                                    <w:r>
                                      <w:rPr>
                                        <w:rFonts w:hint="eastAsia"/>
                                      </w:rPr>
                                      <w:t>固废</w:t>
                                    </w:r>
                                  </w:p>
                                </w:txbxContent>
                              </wps:txbx>
                              <wps:bodyPr upright="1"/>
                            </wps:wsp>
                            <wps:wsp>
                              <wps:cNvPr id="114" name="直接连接符 114"/>
                              <wps:cNvCnPr/>
                              <wps:spPr>
                                <a:xfrm>
                                  <a:off x="2903855" y="2379980"/>
                                  <a:ext cx="393700" cy="3175"/>
                                </a:xfrm>
                                <a:prstGeom prst="line">
                                  <a:avLst/>
                                </a:prstGeom>
                                <a:ln w="19050" cap="flat" cmpd="sng">
                                  <a:solidFill>
                                    <a:srgbClr val="000000"/>
                                  </a:solidFill>
                                  <a:prstDash val="dash"/>
                                  <a:headEnd type="none" w="med" len="med"/>
                                  <a:tailEnd type="triangle" w="med" len="med"/>
                                </a:ln>
                              </wps:spPr>
                              <wps:bodyPr upright="1"/>
                            </wps:wsp>
                            <wps:wsp>
                              <wps:cNvPr id="115" name="文本框 115"/>
                              <wps:cNvSpPr txBox="1"/>
                              <wps:spPr>
                                <a:xfrm>
                                  <a:off x="3294380" y="2246630"/>
                                  <a:ext cx="889000" cy="279400"/>
                                </a:xfrm>
                                <a:prstGeom prst="rect">
                                  <a:avLst/>
                                </a:prstGeom>
                                <a:noFill/>
                                <a:ln w="9525" cap="flat" cmpd="sng">
                                  <a:solidFill>
                                    <a:srgbClr val="000000"/>
                                  </a:solidFill>
                                  <a:prstDash val="dash"/>
                                  <a:miter/>
                                  <a:headEnd type="none" w="med" len="med"/>
                                  <a:tailEnd type="none" w="med" len="med"/>
                                </a:ln>
                              </wps:spPr>
                              <wps:txbx>
                                <w:txbxContent>
                                  <w:p>
                                    <w:pPr>
                                      <w:jc w:val="center"/>
                                    </w:pPr>
                                    <w:r>
                                      <w:rPr>
                                        <w:rFonts w:hint="eastAsia"/>
                                        <w:lang w:val="en-US" w:eastAsia="zh-CN"/>
                                      </w:rPr>
                                      <w:t>噪声、</w:t>
                                    </w:r>
                                    <w:r>
                                      <w:rPr>
                                        <w:rFonts w:hint="eastAsia"/>
                                      </w:rPr>
                                      <w:t>固废</w:t>
                                    </w:r>
                                  </w:p>
                                </w:txbxContent>
                              </wps:txbx>
                              <wps:bodyPr upright="1"/>
                            </wps:wsp>
                            <wps:wsp>
                              <wps:cNvPr id="116" name="直接连接符 116"/>
                              <wps:cNvCnPr/>
                              <wps:spPr>
                                <a:xfrm>
                                  <a:off x="3056255" y="2941955"/>
                                  <a:ext cx="393700" cy="0"/>
                                </a:xfrm>
                                <a:prstGeom prst="line">
                                  <a:avLst/>
                                </a:prstGeom>
                                <a:ln w="19050" cap="flat" cmpd="sng">
                                  <a:solidFill>
                                    <a:srgbClr val="000000"/>
                                  </a:solidFill>
                                  <a:prstDash val="dash"/>
                                  <a:headEnd type="none" w="med" len="med"/>
                                  <a:tailEnd type="triangle" w="med" len="med"/>
                                </a:ln>
                              </wps:spPr>
                              <wps:bodyPr upright="1"/>
                            </wps:wsp>
                            <wps:wsp>
                              <wps:cNvPr id="117" name="文本框 117"/>
                              <wps:cNvSpPr txBox="1"/>
                              <wps:spPr>
                                <a:xfrm>
                                  <a:off x="3427730" y="2789555"/>
                                  <a:ext cx="889000" cy="279400"/>
                                </a:xfrm>
                                <a:prstGeom prst="rect">
                                  <a:avLst/>
                                </a:prstGeom>
                                <a:noFill/>
                                <a:ln w="9525" cap="flat" cmpd="sng">
                                  <a:solidFill>
                                    <a:srgbClr val="000000"/>
                                  </a:solidFill>
                                  <a:prstDash val="dash"/>
                                  <a:miter/>
                                  <a:headEnd type="none" w="med" len="med"/>
                                  <a:tailEnd type="none" w="med" len="med"/>
                                </a:ln>
                              </wps:spPr>
                              <wps:txbx>
                                <w:txbxContent>
                                  <w:p>
                                    <w:pPr>
                                      <w:jc w:val="center"/>
                                    </w:pPr>
                                    <w:r>
                                      <w:rPr>
                                        <w:rFonts w:hint="eastAsia"/>
                                        <w:lang w:val="en-US" w:eastAsia="zh-CN"/>
                                      </w:rPr>
                                      <w:t>噪声、</w:t>
                                    </w:r>
                                    <w:r>
                                      <w:rPr>
                                        <w:rFonts w:hint="eastAsia"/>
                                      </w:rPr>
                                      <w:t>固废</w:t>
                                    </w:r>
                                  </w:p>
                                </w:txbxContent>
                              </wps:txbx>
                              <wps:bodyPr upright="1"/>
                            </wps:wsp>
                            <wps:wsp>
                              <wps:cNvPr id="118" name="直接连接符 118"/>
                              <wps:cNvCnPr/>
                              <wps:spPr>
                                <a:xfrm>
                                  <a:off x="2875280" y="1798955"/>
                                  <a:ext cx="393700" cy="0"/>
                                </a:xfrm>
                                <a:prstGeom prst="line">
                                  <a:avLst/>
                                </a:prstGeom>
                                <a:ln w="19050" cap="flat" cmpd="sng">
                                  <a:solidFill>
                                    <a:srgbClr val="000000"/>
                                  </a:solidFill>
                                  <a:prstDash val="dash"/>
                                  <a:headEnd type="none" w="med" len="med"/>
                                  <a:tailEnd type="triangle" w="med" len="med"/>
                                </a:ln>
                              </wps:spPr>
                              <wps:bodyPr upright="1"/>
                            </wps:wsp>
                            <wps:wsp>
                              <wps:cNvPr id="119" name="文本框 119"/>
                              <wps:cNvSpPr txBox="1"/>
                              <wps:spPr>
                                <a:xfrm>
                                  <a:off x="3256280" y="1675130"/>
                                  <a:ext cx="889000" cy="279400"/>
                                </a:xfrm>
                                <a:prstGeom prst="rect">
                                  <a:avLst/>
                                </a:prstGeom>
                                <a:noFill/>
                                <a:ln w="9525" cap="flat" cmpd="sng">
                                  <a:solidFill>
                                    <a:srgbClr val="000000"/>
                                  </a:solidFill>
                                  <a:prstDash val="dash"/>
                                  <a:miter/>
                                  <a:headEnd type="none" w="med" len="med"/>
                                  <a:tailEnd type="none" w="med" len="med"/>
                                </a:ln>
                              </wps:spPr>
                              <wps:txbx>
                                <w:txbxContent>
                                  <w:p>
                                    <w:pPr>
                                      <w:jc w:val="center"/>
                                    </w:pPr>
                                    <w:r>
                                      <w:rPr>
                                        <w:rFonts w:hint="eastAsia"/>
                                        <w:lang w:val="en-US" w:eastAsia="zh-CN"/>
                                      </w:rPr>
                                      <w:t>噪声、</w:t>
                                    </w:r>
                                    <w:r>
                                      <w:rPr>
                                        <w:rFonts w:hint="eastAsia"/>
                                      </w:rPr>
                                      <w:t>固废</w:t>
                                    </w:r>
                                  </w:p>
                                </w:txbxContent>
                              </wps:txbx>
                              <wps:bodyPr upright="1"/>
                            </wps:wsp>
                            <wps:wsp>
                              <wps:cNvPr id="120" name="文本框 120"/>
                              <wps:cNvSpPr txBox="1"/>
                              <wps:spPr>
                                <a:xfrm>
                                  <a:off x="1913255" y="4399280"/>
                                  <a:ext cx="1066800"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复合保温板</w:t>
                                    </w:r>
                                  </w:p>
                                </w:txbxContent>
                              </wps:txbx>
                              <wps:bodyPr upright="1"/>
                            </wps:wsp>
                            <wps:wsp>
                              <wps:cNvPr id="121" name="文本框 121"/>
                              <wps:cNvSpPr txBox="1"/>
                              <wps:spPr>
                                <a:xfrm>
                                  <a:off x="633095" y="0"/>
                                  <a:ext cx="875665"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40" w:firstLineChars="100"/>
                                      <w:jc w:val="both"/>
                                      <w:rPr>
                                        <w:rFonts w:hint="default" w:eastAsia="宋体"/>
                                        <w:lang w:val="en-US" w:eastAsia="zh-CN"/>
                                      </w:rPr>
                                    </w:pPr>
                                    <w:r>
                                      <w:rPr>
                                        <w:rFonts w:hint="eastAsia"/>
                                        <w:lang w:val="en-US" w:eastAsia="zh-CN"/>
                                      </w:rPr>
                                      <w:t>放置框架</w:t>
                                    </w:r>
                                  </w:p>
                                </w:txbxContent>
                              </wps:txbx>
                              <wps:bodyPr upright="1"/>
                            </wps:wsp>
                            <wps:wsp>
                              <wps:cNvPr id="122" name="直接连接符 122"/>
                              <wps:cNvCnPr/>
                              <wps:spPr>
                                <a:xfrm>
                                  <a:off x="1515110" y="135255"/>
                                  <a:ext cx="359410" cy="635"/>
                                </a:xfrm>
                                <a:prstGeom prst="line">
                                  <a:avLst/>
                                </a:prstGeom>
                                <a:ln w="19050" cap="flat" cmpd="sng">
                                  <a:solidFill>
                                    <a:srgbClr val="000000"/>
                                  </a:solidFill>
                                  <a:prstDash val="solid"/>
                                  <a:headEnd type="none" w="med" len="med"/>
                                  <a:tailEnd type="triangle" w="med" len="med"/>
                                </a:ln>
                              </wps:spPr>
                              <wps:bodyPr upright="1"/>
                            </wps:wsp>
                            <wps:wsp>
                              <wps:cNvPr id="124" name="直接连接符 124"/>
                              <wps:cNvCnPr/>
                              <wps:spPr>
                                <a:xfrm>
                                  <a:off x="2431415" y="287020"/>
                                  <a:ext cx="0" cy="292100"/>
                                </a:xfrm>
                                <a:prstGeom prst="line">
                                  <a:avLst/>
                                </a:prstGeom>
                                <a:ln w="19050" cap="flat" cmpd="sng">
                                  <a:solidFill>
                                    <a:srgbClr val="000000"/>
                                  </a:solidFill>
                                  <a:prstDash val="solid"/>
                                  <a:headEnd type="none" w="med" len="med"/>
                                  <a:tailEnd type="triangle" w="med" len="med"/>
                                </a:ln>
                              </wps:spPr>
                              <wps:bodyPr upright="1"/>
                            </wps:wsp>
                            <wps:wsp>
                              <wps:cNvPr id="125" name="直接连接符 125"/>
                              <wps:cNvCnPr/>
                              <wps:spPr>
                                <a:xfrm>
                                  <a:off x="2439670" y="858520"/>
                                  <a:ext cx="0" cy="292100"/>
                                </a:xfrm>
                                <a:prstGeom prst="line">
                                  <a:avLst/>
                                </a:prstGeom>
                                <a:ln w="19050" cap="flat" cmpd="sng">
                                  <a:solidFill>
                                    <a:srgbClr val="000000"/>
                                  </a:solidFill>
                                  <a:prstDash val="solid"/>
                                  <a:headEnd type="none" w="med" len="med"/>
                                  <a:tailEnd type="triangle" w="med" len="med"/>
                                </a:ln>
                              </wps:spPr>
                              <wps:bodyPr upright="1"/>
                            </wps:wsp>
                            <wps:wsp>
                              <wps:cNvPr id="126" name="直接连接符 126"/>
                              <wps:cNvCnPr/>
                              <wps:spPr>
                                <a:xfrm>
                                  <a:off x="2422525" y="1378585"/>
                                  <a:ext cx="0" cy="292100"/>
                                </a:xfrm>
                                <a:prstGeom prst="line">
                                  <a:avLst/>
                                </a:prstGeom>
                                <a:ln w="19050" cap="flat" cmpd="sng">
                                  <a:solidFill>
                                    <a:srgbClr val="000000"/>
                                  </a:solidFill>
                                  <a:prstDash val="solid"/>
                                  <a:headEnd type="none" w="med" len="med"/>
                                  <a:tailEnd type="triangle" w="med" len="med"/>
                                </a:ln>
                              </wps:spPr>
                              <wps:bodyPr upright="1"/>
                            </wps:wsp>
                            <wps:wsp>
                              <wps:cNvPr id="127" name="直接连接符 127"/>
                              <wps:cNvCnPr/>
                              <wps:spPr>
                                <a:xfrm>
                                  <a:off x="2396490" y="1932305"/>
                                  <a:ext cx="0" cy="292100"/>
                                </a:xfrm>
                                <a:prstGeom prst="line">
                                  <a:avLst/>
                                </a:prstGeom>
                                <a:ln w="19050" cap="flat" cmpd="sng">
                                  <a:solidFill>
                                    <a:srgbClr val="000000"/>
                                  </a:solidFill>
                                  <a:prstDash val="solid"/>
                                  <a:headEnd type="none" w="med" len="med"/>
                                  <a:tailEnd type="triangle" w="med" len="med"/>
                                </a:ln>
                              </wps:spPr>
                              <wps:bodyPr upright="1"/>
                            </wps:wsp>
                            <wps:wsp>
                              <wps:cNvPr id="128" name="直接连接符 128"/>
                              <wps:cNvCnPr/>
                              <wps:spPr>
                                <a:xfrm>
                                  <a:off x="2422525" y="2538730"/>
                                  <a:ext cx="0" cy="292100"/>
                                </a:xfrm>
                                <a:prstGeom prst="line">
                                  <a:avLst/>
                                </a:prstGeom>
                                <a:ln w="19050" cap="flat" cmpd="sng">
                                  <a:solidFill>
                                    <a:srgbClr val="000000"/>
                                  </a:solidFill>
                                  <a:prstDash val="solid"/>
                                  <a:headEnd type="none" w="med" len="med"/>
                                  <a:tailEnd type="triangle" w="med" len="med"/>
                                </a:ln>
                              </wps:spPr>
                              <wps:bodyPr upright="1"/>
                            </wps:wsp>
                            <wps:wsp>
                              <wps:cNvPr id="129" name="直接连接符 129"/>
                              <wps:cNvCnPr/>
                              <wps:spPr>
                                <a:xfrm>
                                  <a:off x="2431415" y="3067050"/>
                                  <a:ext cx="0" cy="292100"/>
                                </a:xfrm>
                                <a:prstGeom prst="line">
                                  <a:avLst/>
                                </a:prstGeom>
                                <a:ln w="19050" cap="flat" cmpd="sng">
                                  <a:solidFill>
                                    <a:srgbClr val="000000"/>
                                  </a:solidFill>
                                  <a:prstDash val="solid"/>
                                  <a:headEnd type="none" w="med" len="med"/>
                                  <a:tailEnd type="triangle" w="med" len="med"/>
                                </a:ln>
                              </wps:spPr>
                              <wps:bodyPr upright="1"/>
                            </wps:wsp>
                            <wps:wsp>
                              <wps:cNvPr id="130" name="直接连接符 130"/>
                              <wps:cNvCnPr/>
                              <wps:spPr>
                                <a:xfrm>
                                  <a:off x="2439670" y="3577590"/>
                                  <a:ext cx="0" cy="292100"/>
                                </a:xfrm>
                                <a:prstGeom prst="line">
                                  <a:avLst/>
                                </a:prstGeom>
                                <a:ln w="19050" cap="flat" cmpd="sng">
                                  <a:solidFill>
                                    <a:srgbClr val="000000"/>
                                  </a:solidFill>
                                  <a:prstDash val="solid"/>
                                  <a:headEnd type="none" w="med" len="med"/>
                                  <a:tailEnd type="triangle" w="med" len="med"/>
                                </a:ln>
                              </wps:spPr>
                              <wps:bodyPr upright="1"/>
                            </wps:wsp>
                          </wpc:wpc>
                        </a:graphicData>
                      </a:graphic>
                    </wp:inline>
                  </w:drawing>
                </mc:Choice>
                <mc:Fallback>
                  <w:pict>
                    <v:group id="_x0000_s1026" o:spid="_x0000_s1026" o:spt="203" style="height:378.25pt;width:397.25pt;" coordsize="5045075,4803775" editas="canvas" o:gfxdata="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">
                      <o:lock v:ext="edit" aspectratio="f"/>
                      <v:shape id="_x0000_s1026" o:spid="_x0000_s1026" style="position:absolute;left:0;top:0;height:4803775;width:5045075;" filled="f" stroked="f" coordsize="21600,21600" o:gfxdata="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">
                        <v:fill on="f" focussize="0,0"/>
                        <v:stroke on="f"/>
                        <v:imagedata o:title=""/>
                        <o:lock v:ext="edit" aspectratio="f"/>
                      </v:shape>
                      <v:shape id="_x0000_s1026" o:spid="_x0000_s1026" o:spt="202" type="#_x0000_t202" style="position:absolute;left:2001520;top:579120;height:264795;width:857250;" fillcolor="#FFFFFF" filled="t" stroked="t" coordsize="21600,21600" o:gfxdata="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6TCEjWAAAABQEAAA8AAAAAAAAA&#10;AQAgAAAAIgAAAGRycy9kb3ducmV2LnhtbFBLAQIUABQAAAAIAIdO4kChHcXJEwIAAEIEAAAOAAAA&#10;AAAAAAEAIAAAACUBAABkcnMvZTJvRG9jLnhtbFBLBQYAAAAABgAGAFkBAACqBQ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开设凹槽</w:t>
                              </w:r>
                            </w:p>
                          </w:txbxContent>
                        </v:textbox>
                      </v:shape>
                      <v:shape id="_x0000_s1026" o:spid="_x0000_s1026" o:spt="202" type="#_x0000_t202" style="position:absolute;left:1841500;top:0;height:264795;width:1095375;" fillcolor="#FFFFFF" filled="t" stroked="t" coordsize="21600,21600" o:gfxdata="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6TCEjWAAAABQEAAA8AAAAAAAAAAQAg&#10;AAAAIgAAAGRycy9kb3ducmV2LnhtbFBLAQIUABQAAAAIAIdO4kAlGzVuEAIAAD4EAAAOAAAAAAAA&#10;AAEAIAAAACUBAABkcnMvZTJvRG9jLnhtbFBLBQYAAAAABgAGAFkBAACnBQAAAAA=&#10;">
                        <v:fill on="t" focussize="0,0"/>
                        <v:stroke color="#000000" joinstyle="miter"/>
                        <v:imagedata o:title=""/>
                        <o:lock v:ext="edit" aspectratio="f"/>
                        <v:textbox>
                          <w:txbxContent>
                            <w:p>
                              <w:pPr>
                                <w:jc w:val="both"/>
                                <w:rPr>
                                  <w:rFonts w:hint="default" w:eastAsia="宋体"/>
                                  <w:lang w:val="en-US" w:eastAsia="zh-CN"/>
                                </w:rPr>
                              </w:pPr>
                              <w:r>
                                <w:rPr>
                                  <w:rFonts w:hint="eastAsia"/>
                                  <w:lang w:val="en-US" w:eastAsia="zh-CN"/>
                                </w:rPr>
                                <w:t>XPS板切割</w:t>
                              </w:r>
                            </w:p>
                          </w:txbxContent>
                        </v:textbox>
                      </v:shape>
                      <v:shape id="_x0000_s1026" o:spid="_x0000_s1026" o:spt="202" type="#_x0000_t202" style="position:absolute;left:1574165;top:1125855;height:264794;width:1647190;" fillcolor="#FFFFFF" filled="t" stroked="t" coordsize="21600,21600" o:gfxdata="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OkwhI1gAAAAUBAAAPAAAAAAAA&#10;AAEAIAAAACIAAABkcnMvZG93bnJldi54bWxQSwECFAAUAAAACACHTuJAUOvlyRQCAABEBAAADgAA&#10;AAAAAAABACAAAAAlAQAAZHJzL2Uyb0RvYy54bWxQSwUGAAAAAAYABgBZAQAAqwU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铺设内侧粘结加强层</w:t>
                              </w:r>
                            </w:p>
                          </w:txbxContent>
                        </v:textbox>
                      </v:shape>
                      <v:shape id="_x0000_s1026" o:spid="_x0000_s1026" o:spt="202" type="#_x0000_t202" style="position:absolute;left:1617980;top:1672590;height:264795;width:1266825;" fillcolor="#FFFFFF" filled="t" stroked="t" coordsize="21600,21600" o:gfxdata="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6TCEjWAAAABQEAAA8AAAAAAAAA&#10;AQAgAAAAIgAAAGRycy9kb3ducmV2LnhtbFBLAQIUABQAAAAIAIdO4kB5YFAhEwIAAEQEAAAOAAAA&#10;AAAAAAEAIAAAACUBAABkcnMvZTJvRG9jLnhtbFBLBQYAAAAABgAGAFkBAACqBQ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铺设加强钢筋网架</w:t>
                              </w:r>
                            </w:p>
                          </w:txbxContent>
                        </v:textbox>
                      </v:shape>
                      <v:shape id="_x0000_s1026" o:spid="_x0000_s1026" o:spt="202" type="#_x0000_t202" style="position:absolute;left:1988820;top:2218690;height:264795;width:923925;" fillcolor="#FFFFFF" filled="t" stroked="t" coordsize="21600,21600" o:gfxdata="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6TCEjWAAAABQEAAA8AAAAAAAAA&#10;AQAgAAAAIgAAAGRycy9kb3ducmV2LnhtbFBLAQIUABQAAAAIAIdO4kCevkpjEwIAAEMEAAAOAAAA&#10;AAAAAAEAIAAAACUBAABkcnMvZTJvRG9jLnhtbFBLBQYAAAAABgAGAFkBAACqBQ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铺设粘结层</w:t>
                              </w:r>
                            </w:p>
                          </w:txbxContent>
                        </v:textbox>
                      </v:shape>
                      <v:line id="_x0000_s1026" o:spid="_x0000_s1026" o:spt="20" style="position:absolute;left:1142365;top:1246505;flip:x;height:9525;width:456565;" filled="f" stroked="t" coordsize="21600,21600" o:gfxdata="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cjrv7UAAAABQEAAA8AAAAAAAAA&#10;AQAgAAAAIgAAAGRycy9kb3ducmV2LnhtbFBLAQIUABQAAAAIAIdO4kB7bwkrFQIAAAIEAAAOAAAA&#10;AAAAAAEAIAAAACMBAABkcnMvZTJvRG9jLnhtbFBLBQYAAAAABgAGAFkBAACqBQAAAAA=&#10;">
                        <v:fill on="f" focussize="0,0"/>
                        <v:stroke weight="1.5pt" color="#000000" joinstyle="round" dashstyle="dash" endarrow="block"/>
                        <v:imagedata o:title=""/>
                        <o:lock v:ext="edit" aspectratio="f"/>
                      </v:line>
                      <v:shape id="_x0000_s1026" o:spid="_x0000_s1026" o:spt="202" type="#_x0000_t202" style="position:absolute;left:265430;top:1132205;height:279399;width:889635;" filled="f" stroked="t" coordsize="21600,21600" o:gfxdata="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p7e6v1gAAAAUBAAAPAAAAAAAAAAEA&#10;IAAAACIAAABkcnMvZG93bnJldi54bWxQSwECFAAUAAAACACHTuJAIge2QRECAAAYBAAADgAAAAAA&#10;AAABACAAAAAlAQAAZHJzL2Uyb0RvYy54bWxQSwUGAAAAAAYABgBZAQAAqAUAAAAA&#10;">
                        <v:fill on="f" focussize="0,0"/>
                        <v:stroke color="#000000" joinstyle="miter" dashstyle="dash"/>
                        <v:imagedata o:title=""/>
                        <o:lock v:ext="edit" aspectratio="f"/>
                        <v:textbox>
                          <w:txbxContent>
                            <w:p>
                              <w:pPr>
                                <w:jc w:val="center"/>
                              </w:pPr>
                              <w:r>
                                <w:rPr>
                                  <w:rFonts w:hint="eastAsia"/>
                                  <w:lang w:val="en-US" w:eastAsia="zh-CN"/>
                                </w:rPr>
                                <w:t>噪声、</w:t>
                              </w:r>
                              <w:r>
                                <w:rPr>
                                  <w:rFonts w:hint="eastAsia"/>
                                </w:rPr>
                                <w:t>固废</w:t>
                              </w:r>
                            </w:p>
                          </w:txbxContent>
                        </v:textbox>
                      </v:shape>
                      <v:shape id="_x0000_s1026" o:spid="_x0000_s1026" o:spt="202" type="#_x0000_t202" style="position:absolute;left:1827530;top:2799080;height:283845;width:1219200;" fillcolor="#FFFFFF" filled="t" stroked="t" coordsize="21600,21600" o:gfxdata="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6TCEjWAAAABQEAAA8AAAAA&#10;AAAAAQAgAAAAIgAAAGRycy9kb3ducmV2LnhtbFBLAQIUABQAAAAIAIdO4kB7ig3JFgIAAEYEAAAO&#10;AAAAAAAAAAEAIAAAACUBAABkcnMvZTJvRG9jLnhtbFBLBQYAAAAABgAGAFkBAACtBQ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铺设保温过渡层</w:t>
                              </w:r>
                            </w:p>
                          </w:txbxContent>
                        </v:textbox>
                      </v:shape>
                      <v:shape id="_x0000_s1026" o:spid="_x0000_s1026" o:spt="202" type="#_x0000_t202" style="position:absolute;left:1694180;top:3342005;height:314325;width:1673225;" fillcolor="#FFFFFF" filled="t" stroked="t" coordsize="21600,21600" o:gfxdata="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6TCEjWAAAABQEAAA8AAAAAAAAA&#10;AQAgAAAAIgAAAGRycy9kb3ducmV2LnhtbFBLAQIUABQAAAAIAIdO4kA1awU9EwIAAEYEAAAOAAAA&#10;AAAAAAEAIAAAACUBAABkcnMvZTJvRG9jLnhtbFBLBQYAAAAABgAGAFkBAACqBQ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铺设外侧粘结加强层</w:t>
                              </w:r>
                            </w:p>
                          </w:txbxContent>
                        </v:textbox>
                      </v:shape>
                      <v:line id="_x0000_s1026" o:spid="_x0000_s1026" o:spt="20" style="position:absolute;left:3369945;top:3484245;flip:x y;height:10160;width:413385;" filled="f" stroked="t" coordsize="21600,21600" o:gfxdata="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FnbS9IAAAAFAQAADwAAAAAA&#10;AAABACAAAAAiAAAAZHJzL2Rvd25yZXYueG1sUEsBAhQAFAAAAAgAh07iQMzULdkZAgAAEAQAAA4A&#10;AAAAAAAAAQAgAAAAIQEAAGRycy9lMm9Eb2MueG1sUEsFBgAAAAAGAAYAWQEAAKwFAAAAAA==&#10;">
                        <v:fill on="f" focussize="0,0"/>
                        <v:stroke weight="1.5pt" color="#000000" joinstyle="round" endarrow="block"/>
                        <v:imagedata o:title=""/>
                        <o:lock v:ext="edit" aspectratio="f"/>
                      </v:line>
                      <v:shape id="_x0000_s1026" o:spid="_x0000_s1026" o:spt="202" type="#_x0000_t202" style="position:absolute;left:3780155;top:3361055;height:306705;width:939800;" fillcolor="#FFFFFF" filled="t" stroked="t" coordsize="21600,21600" o:gfxdata="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6TCEjWAAAABQEAAA8AAAAA&#10;AAAAAQAgAAAAIgAAAGRycy9kb3ducmV2LnhtbFBLAQIUABQAAAAIAIdO4kBSgc76FgIAAEUEAAAO&#10;AAAAAAAAAAEAIAAAACUBAABkcnMvZTJvRG9jLnhtbFBLBQYAAAAABgAGAFkBAACtBQAAAAA=&#10;">
                        <v:fill on="t" focussize="0,0"/>
                        <v:stroke color="#000000" joinstyle="miter"/>
                        <v:imagedata o:title=""/>
                        <o:lock v:ext="edit" aspectratio="f"/>
                        <v:textbox>
                          <w:txbxContent>
                            <w:p>
                              <w:pPr>
                                <w:rPr>
                                  <w:rFonts w:hint="eastAsia" w:eastAsia="宋体"/>
                                  <w:lang w:val="en-US" w:eastAsia="zh-CN"/>
                                </w:rPr>
                              </w:pPr>
                              <w:r>
                                <w:rPr>
                                  <w:rFonts w:hint="eastAsia"/>
                                  <w:lang w:val="en-US" w:eastAsia="zh-CN"/>
                                </w:rPr>
                                <w:t>耐碱玻纤网</w:t>
                              </w:r>
                            </w:p>
                          </w:txbxContent>
                        </v:textbox>
                      </v:shape>
                      <v:line id="_x0000_s1026" o:spid="_x0000_s1026" o:spt="20" style="position:absolute;left:1169670;top:3474085;flip:y;height:2540;width:499745;" filled="f" stroked="t" coordsize="21600,21600" o:gfxdata="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4iX2BdQAAAAFAQAADwAAAAAA&#10;AAABACAAAAAiAAAAZHJzL2Rvd25yZXYueG1sUEsBAhQAFAAAAAgAh07iQGfW+QAXAgAABQQAAA4A&#10;AAAAAAAAAQAgAAAAIwEAAGRycy9lMm9Eb2MueG1sUEsFBgAAAAAGAAYAWQEAAKwFAAAAAA==&#10;">
                        <v:fill on="f" focussize="0,0"/>
                        <v:stroke weight="1.5pt" color="#000000" joinstyle="round" endarrow="block"/>
                        <v:imagedata o:title=""/>
                        <o:lock v:ext="edit" aspectratio="f"/>
                      </v:line>
                      <v:shape id="_x0000_s1026" o:spid="_x0000_s1026" o:spt="202" type="#_x0000_t202" style="position:absolute;left:46355;top:3246755;height:705485;width:1139190;" fillcolor="#FFFFFF" filled="t" stroked="t" coordsize="21600,21600" o:gfxdata="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OkwhI1gAAAAUBAAAPAAAA&#10;AAAAAAEAIAAAACIAAABkcnMvZG93bnJldi54bWxQSwECFAAUAAAACACHTuJAXYAMQhcCAABEBAAA&#10;DgAAAAAAAAABACAAAAAlAQAAZHJzL2Uyb0RvYy54bWxQSwUGAAAAAAYABgBZAQAArgUAAAAA&#10;">
                        <v:fill on="t" focussize="0,0"/>
                        <v:stroke color="#000000" joinstyle="miter"/>
                        <v:imagedata o:title=""/>
                        <o:lock v:ext="edit" aspectratio="f"/>
                        <v:textbox>
                          <w:txbxContent>
                            <w:p>
                              <w:pPr>
                                <w:jc w:val="center"/>
                                <w:rPr>
                                  <w:rFonts w:hint="eastAsia" w:eastAsia="宋体"/>
                                  <w:sz w:val="21"/>
                                  <w:szCs w:val="21"/>
                                  <w:lang w:val="en-US" w:eastAsia="zh-CN"/>
                                </w:rPr>
                              </w:pPr>
                              <w:r>
                                <w:rPr>
                                  <w:rFonts w:hint="eastAsia" w:eastAsia="宋体"/>
                                  <w:sz w:val="21"/>
                                  <w:szCs w:val="21"/>
                                  <w:lang w:val="en-US" w:eastAsia="zh-CN"/>
                                </w:rPr>
                                <w:t>聚合物水泥砂浆</w:t>
                              </w:r>
                            </w:p>
                            <w:p>
                              <w:pPr>
                                <w:pStyle w:val="22"/>
                                <w:ind w:left="0" w:leftChars="0" w:firstLine="0" w:firstLineChars="0"/>
                                <w:rPr>
                                  <w:rFonts w:hint="default"/>
                                  <w:sz w:val="21"/>
                                  <w:szCs w:val="21"/>
                                  <w:lang w:val="en-US" w:eastAsia="zh-CN"/>
                                </w:rPr>
                              </w:pPr>
                              <w:r>
                                <w:rPr>
                                  <w:rFonts w:hint="eastAsia" w:eastAsia="宋体"/>
                                  <w:sz w:val="21"/>
                                  <w:szCs w:val="21"/>
                                  <w:lang w:val="en-US" w:eastAsia="zh-CN"/>
                                </w:rPr>
                                <w:t>保温砂浆</w:t>
                              </w:r>
                            </w:p>
                          </w:txbxContent>
                        </v:textbox>
                      </v:shape>
                      <v:shape id="_x0000_s1026" o:spid="_x0000_s1026" o:spt="202" type="#_x0000_t202" style="position:absolute;left:2037080;top:3865880;height:254000;width:914400;" fillcolor="#FFFFFF" filled="t" stroked="t" coordsize="21600,21600" o:gfxdata="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6TCEjWAAAABQEAAA8AAAAA&#10;AAAAAQAgAAAAIgAAAGRycy9kb3ducmV2LnhtbFBLAQIUABQAAAAIAIdO4kC9jGrxFgIAAEUEAAAO&#10;AAAAAAAAAAEAIAAAACUBAABkcnMvZTJvRG9jLnhtbFBLBQYAAAAABgAGAFkBAACtBQ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自然养护</w:t>
                              </w:r>
                            </w:p>
                          </w:txbxContent>
                        </v:textbox>
                      </v:shape>
                      <v:line id="_x0000_s1026" o:spid="_x0000_s1026" o:spt="20" style="position:absolute;left:2465705;top:4123055;height:292100;width:0;" filled="f" stroked="t" coordsize="21600,21600" o:gfxdata="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Evg23UAAAABQEAAA8AAAAAAAAAAQAgAAAAIgAA&#10;AGRycy9kb3ducmV2LnhtbFBLAQIUABQAAAAIAIdO4kCEEzq7DAIAAPgDAAAOAAAAAAAAAAEAIAAA&#10;ACMBAABkcnMvZTJvRG9jLnhtbFBLBQYAAAAABgAGAFkBAAChBQAAAAA=&#10;">
                        <v:fill on="f" focussize="0,0"/>
                        <v:stroke weight="1.5pt" color="#000000" joinstyle="round" endarrow="block"/>
                        <v:imagedata o:title=""/>
                        <o:lock v:ext="edit" aspectratio="f"/>
                      </v:line>
                      <v:line id="_x0000_s1026" o:spid="_x0000_s1026" o:spt="20" style="position:absolute;left:3256280;top:3608705;height:317500;width:12700;" filled="f" stroked="t" coordsize="21600,21600" o:gfxdata="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OlJOLWAAAABQEAAA8AAAAAAAAAAQAgAAAAIgAA&#10;AGRycy9kb3ducmV2LnhtbFBLAQIUABQAAAAIAIdO4kBOPi7CCgIAAPsDAAAOAAAAAAAAAAEAIAAA&#10;ACUBAABkcnMvZTJvRG9jLnhtbFBLBQYAAAAABgAGAFkBAAChBQAAAAA=&#10;">
                        <v:fill on="f" focussize="0,0"/>
                        <v:stroke weight="1.5pt" color="#000000" joinstyle="round" dashstyle="dash" endarrow="block"/>
                        <v:imagedata o:title=""/>
                        <o:lock v:ext="edit" aspectratio="f"/>
                      </v:line>
                      <v:shape id="_x0000_s1026" o:spid="_x0000_s1026" o:spt="202" type="#_x0000_t202" style="position:absolute;left:3094355;top:3932555;height:279400;width:889000;" filled="f" stroked="t" coordsize="21600,21600" o:gfxdata="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e3ur9YAAAAFAQAADwAAAAAAAAABACAA&#10;AAAiAAAAZHJzL2Rvd25yZXYueG1sUEsBAhQAFAAAAAgAh07iQLp2nlkPAgAAGwQAAA4AAAAAAAAA&#10;AQAgAAAAJQEAAGRycy9lMm9Eb2MueG1sUEsFBgAAAAAGAAYAWQEAAKYFAAAAAA==&#10;">
                        <v:fill on="f" focussize="0,0"/>
                        <v:stroke color="#000000" joinstyle="miter" dashstyle="dash"/>
                        <v:imagedata o:title=""/>
                        <o:lock v:ext="edit" aspectratio="f"/>
                        <v:textbox>
                          <w:txbxContent>
                            <w:p>
                              <w:pPr>
                                <w:jc w:val="center"/>
                              </w:pPr>
                              <w:r>
                                <w:rPr>
                                  <w:rFonts w:hint="eastAsia"/>
                                  <w:lang w:val="en-US" w:eastAsia="zh-CN"/>
                                </w:rPr>
                                <w:t>噪声、</w:t>
                              </w:r>
                              <w:r>
                                <w:rPr>
                                  <w:rFonts w:hint="eastAsia"/>
                                </w:rPr>
                                <w:t>固废</w:t>
                              </w:r>
                            </w:p>
                          </w:txbxContent>
                        </v:textbox>
                      </v:shape>
                      <v:line id="_x0000_s1026" o:spid="_x0000_s1026" o:spt="20" style="position:absolute;left:2903855;top:2379980;height:3175;width:393700;" filled="f" stroked="t" coordsize="21600,21600" o:gfxdata="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6Uk4tYAAAAFAQAADwAAAAAAAAABACAAAAAi&#10;AAAAZHJzL2Rvd25yZXYueG1sUEsBAhQAFAAAAAgAh07iQDSZnI8MAgAA+gMAAA4AAAAAAAAAAQAg&#10;AAAAJQEAAGRycy9lMm9Eb2MueG1sUEsFBgAAAAAGAAYAWQEAAKMFAAAAAA==&#10;">
                        <v:fill on="f" focussize="0,0"/>
                        <v:stroke weight="1.5pt" color="#000000" joinstyle="round" dashstyle="dash" endarrow="block"/>
                        <v:imagedata o:title=""/>
                        <o:lock v:ext="edit" aspectratio="f"/>
                      </v:line>
                      <v:shape id="_x0000_s1026" o:spid="_x0000_s1026" o:spt="202" type="#_x0000_t202" style="position:absolute;left:3294380;top:2246630;height:279400;width:889000;" filled="f" stroked="t" coordsize="21600,21600" o:gfxdata="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p7e6v1gAAAAUBAAAPAAAAAAAAAAEA&#10;IAAAACIAAABkcnMvZG93bnJldi54bWxQSwECFAAUAAAACACHTuJA3I094hECAAAbBAAADgAAAAAA&#10;AAABACAAAAAlAQAAZHJzL2Uyb0RvYy54bWxQSwUGAAAAAAYABgBZAQAAqAUAAAAA&#10;">
                        <v:fill on="f" focussize="0,0"/>
                        <v:stroke color="#000000" joinstyle="miter" dashstyle="dash"/>
                        <v:imagedata o:title=""/>
                        <o:lock v:ext="edit" aspectratio="f"/>
                        <v:textbox>
                          <w:txbxContent>
                            <w:p>
                              <w:pPr>
                                <w:jc w:val="center"/>
                              </w:pPr>
                              <w:r>
                                <w:rPr>
                                  <w:rFonts w:hint="eastAsia"/>
                                  <w:lang w:val="en-US" w:eastAsia="zh-CN"/>
                                </w:rPr>
                                <w:t>噪声、</w:t>
                              </w:r>
                              <w:r>
                                <w:rPr>
                                  <w:rFonts w:hint="eastAsia"/>
                                </w:rPr>
                                <w:t>固废</w:t>
                              </w:r>
                            </w:p>
                          </w:txbxContent>
                        </v:textbox>
                      </v:shape>
                      <v:line id="_x0000_s1026" o:spid="_x0000_s1026" o:spt="20" style="position:absolute;left:3056255;top:2941955;height:0;width:393700;" filled="f" stroked="t" coordsize="21600,21600" o:gfxdata="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pSTi1gAAAAUBAAAPAAAAAAAAAAEAIAAAACIA&#10;AABkcnMvZG93bnJldi54bWxQSwECFAAUAAAACACHTuJAJ3nZuwsCAAD3AwAADgAAAAAAAAABACAA&#10;AAAlAQAAZHJzL2Uyb0RvYy54bWxQSwUGAAAAAAYABgBZAQAAogUAAAAA&#10;">
                        <v:fill on="f" focussize="0,0"/>
                        <v:stroke weight="1.5pt" color="#000000" joinstyle="round" dashstyle="dash" endarrow="block"/>
                        <v:imagedata o:title=""/>
                        <o:lock v:ext="edit" aspectratio="f"/>
                      </v:line>
                      <v:shape id="_x0000_s1026" o:spid="_x0000_s1026" o:spt="202" type="#_x0000_t202" style="position:absolute;left:3427730;top:2789555;height:279400;width:889000;" filled="f" stroked="t" coordsize="21600,21600" o:gfxdata="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p7e6v1gAAAAUBAAAPAAAAAAAAAAEA&#10;IAAAACIAAABkcnMvZG93bnJldi54bWxQSwECFAAUAAAACACHTuJAZGNmiBECAAAbBAAADgAAAAAA&#10;AAABACAAAAAlAQAAZHJzL2Uyb0RvYy54bWxQSwUGAAAAAAYABgBZAQAAqAUAAAAA&#10;">
                        <v:fill on="f" focussize="0,0"/>
                        <v:stroke color="#000000" joinstyle="miter" dashstyle="dash"/>
                        <v:imagedata o:title=""/>
                        <o:lock v:ext="edit" aspectratio="f"/>
                        <v:textbox>
                          <w:txbxContent>
                            <w:p>
                              <w:pPr>
                                <w:jc w:val="center"/>
                              </w:pPr>
                              <w:r>
                                <w:rPr>
                                  <w:rFonts w:hint="eastAsia"/>
                                  <w:lang w:val="en-US" w:eastAsia="zh-CN"/>
                                </w:rPr>
                                <w:t>噪声、</w:t>
                              </w:r>
                              <w:r>
                                <w:rPr>
                                  <w:rFonts w:hint="eastAsia"/>
                                </w:rPr>
                                <w:t>固废</w:t>
                              </w:r>
                            </w:p>
                          </w:txbxContent>
                        </v:textbox>
                      </v:shape>
                      <v:line id="_x0000_s1026" o:spid="_x0000_s1026" o:spt="20" style="position:absolute;left:2875280;top:1798955;height:0;width:393700;" filled="f" stroked="t" coordsize="21600,21600" o:gfxdata="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6Uk4tYAAAAFAQAADwAAAAAAAAABACAAAAAi&#10;AAAAZHJzL2Rvd25yZXYueG1sUEsBAhQAFAAAAAgAh07iQNhn3QYMAgAA9wMAAA4AAAAAAAAAAQAg&#10;AAAAJQEAAGRycy9lMm9Eb2MueG1sUEsFBgAAAAAGAAYAWQEAAKMFAAAAAA==&#10;">
                        <v:fill on="f" focussize="0,0"/>
                        <v:stroke weight="1.5pt" color="#000000" joinstyle="round" dashstyle="dash" endarrow="block"/>
                        <v:imagedata o:title=""/>
                        <o:lock v:ext="edit" aspectratio="f"/>
                      </v:line>
                      <v:shape id="_x0000_s1026" o:spid="_x0000_s1026" o:spt="202" type="#_x0000_t202" style="position:absolute;left:3256280;top:1675130;height:279400;width:889000;" filled="f" stroked="t" coordsize="21600,21600" o:gfxdata="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p7e6v1gAAAAUBAAAPAAAAAAAAAAEA&#10;IAAAACIAAABkcnMvZG93bnJldi54bWxQSwECFAAUAAAACACHTuJAQogeQxECAAAbBAAADgAAAAAA&#10;AAABACAAAAAlAQAAZHJzL2Uyb0RvYy54bWxQSwUGAAAAAAYABgBZAQAAqAUAAAAA&#10;">
                        <v:fill on="f" focussize="0,0"/>
                        <v:stroke color="#000000" joinstyle="miter" dashstyle="dash"/>
                        <v:imagedata o:title=""/>
                        <o:lock v:ext="edit" aspectratio="f"/>
                        <v:textbox>
                          <w:txbxContent>
                            <w:p>
                              <w:pPr>
                                <w:jc w:val="center"/>
                              </w:pPr>
                              <w:r>
                                <w:rPr>
                                  <w:rFonts w:hint="eastAsia"/>
                                  <w:lang w:val="en-US" w:eastAsia="zh-CN"/>
                                </w:rPr>
                                <w:t>噪声、</w:t>
                              </w:r>
                              <w:r>
                                <w:rPr>
                                  <w:rFonts w:hint="eastAsia"/>
                                </w:rPr>
                                <w:t>固废</w:t>
                              </w:r>
                            </w:p>
                          </w:txbxContent>
                        </v:textbox>
                      </v:shape>
                      <v:shape id="_x0000_s1026" o:spid="_x0000_s1026" o:spt="202" type="#_x0000_t202" style="position:absolute;left:1913255;top:4399280;height:254000;width:1066800;" fillcolor="#FFFFFF" filled="t" stroked="t" coordsize="21600,21600" o:gfxdata="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OkwhI1gAAAAUBAAAPAAAA&#10;AAAAAAEAIAAAACIAAABkcnMvZG93bnJldi54bWxQSwECFAAUAAAACACHTuJAGHmKORcCAABGBAAA&#10;DgAAAAAAAAABACAAAAAlAQAAZHJzL2Uyb0RvYy54bWxQSwUGAAAAAAYABgBZAQAArgUAAAAA&#10;">
                        <v:fill on="t" focussize="0,0"/>
                        <v:stroke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复合保温板</w:t>
                              </w:r>
                            </w:p>
                          </w:txbxContent>
                        </v:textbox>
                      </v:shape>
                      <v:shape id="_x0000_s1026" o:spid="_x0000_s1026" o:spt="202" type="#_x0000_t202" style="position:absolute;left:633095;top:0;height:254000;width:875665;" fillcolor="#FFFFFF" filled="t" stroked="t" coordsize="21600,21600" o:gfxdata="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6TCEjWAAAABQEAAA8AAAAAAAAA&#10;AQAgAAAAIgAAAGRycy9kb3ducmV2LnhtbFBLAQIUABQAAAAIAIdO4kCUVS8wEwIAAD4EAAAOAAAA&#10;AAAAAAEAIAAAACUBAABkcnMvZTJvRG9jLnhtbFBLBQYAAAAABgAGAFkBAACqBQAAAAA=&#10;">
                        <v:fill on="t" focussize="0,0"/>
                        <v:stroke color="#000000" joinstyle="miter"/>
                        <v:imagedata o:title=""/>
                        <o:lock v:ext="edit" aspectratio="f"/>
                        <v:textbox>
                          <w:txbxContent>
                            <w:p>
                              <w:pPr>
                                <w:ind w:firstLine="240" w:firstLineChars="100"/>
                                <w:jc w:val="both"/>
                                <w:rPr>
                                  <w:rFonts w:hint="default" w:eastAsia="宋体"/>
                                  <w:lang w:val="en-US" w:eastAsia="zh-CN"/>
                                </w:rPr>
                              </w:pPr>
                              <w:r>
                                <w:rPr>
                                  <w:rFonts w:hint="eastAsia"/>
                                  <w:lang w:val="en-US" w:eastAsia="zh-CN"/>
                                </w:rPr>
                                <w:t>放置框架</w:t>
                              </w:r>
                            </w:p>
                          </w:txbxContent>
                        </v:textbox>
                      </v:shape>
                      <v:line id="_x0000_s1026" o:spid="_x0000_s1026" o:spt="20" style="position:absolute;left:1515110;top:135255;height:635;width:359410;" filled="f" stroked="t" coordsize="21600,21600" o:gfxdata="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S+DbdQAAAAFAQAADwAAAAAAAAABACAAAAAiAAAAZHJz&#10;L2Rvd25yZXYueG1sUEsBAhQAFAAAAAgAh07iQIEPYckIAgAA+QMAAA4AAAAAAAAAAQAgAAAAIwEA&#10;AGRycy9lMm9Eb2MueG1sUEsFBgAAAAAGAAYAWQEAAJ0FAAAAAA==&#10;">
                        <v:fill on="f" focussize="0,0"/>
                        <v:stroke weight="1.5pt" color="#000000" joinstyle="round" endarrow="block"/>
                        <v:imagedata o:title=""/>
                        <o:lock v:ext="edit" aspectratio="f"/>
                      </v:line>
                      <v:line id="_x0000_s1026" o:spid="_x0000_s1026" o:spt="20" style="position:absolute;left:2431415;top:287020;height:292100;width:0;" filled="f" stroked="t" coordsize="21600,21600" o:gfxdata="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&#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Evg23UAAAABQEAAA8AAAAAAAAAAQAgAAAAIgAAAGRy&#10;cy9kb3ducmV2LnhtbFBLAQIUABQAAAAIAIdO4kB0cM2dCQIAAPcDAAAOAAAAAAAAAAEAIAAAACMB&#10;AABkcnMvZTJvRG9jLnhtbFBLBQYAAAAABgAGAFkBAACeBQAAAAA=&#10;">
                        <v:fill on="f" focussize="0,0"/>
                        <v:stroke weight="1.5pt" color="#000000" joinstyle="round" endarrow="block"/>
                        <v:imagedata o:title=""/>
                        <o:lock v:ext="edit" aspectratio="f"/>
                      </v:line>
                      <v:line id="_x0000_s1026" o:spid="_x0000_s1026" o:spt="20" style="position:absolute;left:2439670;top:858520;height:292100;width:0;" filled="f" stroked="t" coordsize="21600,21600" o:gfxdata="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&#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hL4Nt1AAAAAUBAAAPAAAAAAAAAAEAIAAAACIAAABk&#10;cnMvZG93bnJldi54bWxQSwECFAAUAAAACACHTuJA4RZT7QoCAAD3AwAADgAAAAAAAAABACAAAAAj&#10;AQAAZHJzL2Uyb0RvYy54bWxQSwUGAAAAAAYABgBZAQAAnwUAAAAA&#10;">
                        <v:fill on="f" focussize="0,0"/>
                        <v:stroke weight="1.5pt" color="#000000" joinstyle="round" endarrow="block"/>
                        <v:imagedata o:title=""/>
                        <o:lock v:ext="edit" aspectratio="f"/>
                      </v:line>
                      <v:line id="_x0000_s1026" o:spid="_x0000_s1026" o:spt="20" style="position:absolute;left:2422525;top:1378585;height:292100;width:0;" filled="f" stroked="t" coordsize="21600,21600" o:gfxdata="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Evg23UAAAABQEAAA8AAAAAAAAAAQAgAAAAIgAA&#10;AGRycy9kb3ducmV2LnhtbFBLAQIUABQAAAAIAIdO4kD9BXwxDAIAAPgDAAAOAAAAAAAAAAEAIAAA&#10;ACMBAABkcnMvZTJvRG9jLnhtbFBLBQYAAAAABgAGAFkBAAChBQAAAAA=&#10;">
                        <v:fill on="f" focussize="0,0"/>
                        <v:stroke weight="1.5pt" color="#000000" joinstyle="round" endarrow="block"/>
                        <v:imagedata o:title=""/>
                        <o:lock v:ext="edit" aspectratio="f"/>
                      </v:line>
                      <v:line id="_x0000_s1026" o:spid="_x0000_s1026" o:spt="20" style="position:absolute;left:2396490;top:1932305;height:292100;width:0;" filled="f" stroked="t" coordsize="21600,21600" o:gfxdata="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S+DbdQAAAAFAQAADwAAAAAAAAABACAAAAAiAAAA&#10;ZHJzL2Rvd25yZXYueG1sUEsBAhQAFAAAAAgAh07iQNbvniQLAgAA+AMAAA4AAAAAAAAAAQAgAAAA&#10;IwEAAGRycy9lMm9Eb2MueG1sUEsFBgAAAAAGAAYAWQEAAKAFAAAAAA==&#10;">
                        <v:fill on="f" focussize="0,0"/>
                        <v:stroke weight="1.5pt" color="#000000" joinstyle="round" endarrow="block"/>
                        <v:imagedata o:title=""/>
                        <o:lock v:ext="edit" aspectratio="f"/>
                      </v:line>
                      <v:line id="_x0000_s1026" o:spid="_x0000_s1026" o:spt="20" style="position:absolute;left:2422525;top:2538730;height:292100;width:0;" filled="f" stroked="t" coordsize="21600,21600" o:gfxdata="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&#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hL4Nt1AAAAAUBAAAPAAAAAAAAAAEAIAAAACIAAABk&#10;cnMvZG93bnJldi54bWxQSwECFAAUAAAACACHTuJA1eOjbwoCAAD4AwAADgAAAAAAAAABACAAAAAj&#10;AQAAZHJzL2Uyb0RvYy54bWxQSwUGAAAAAAYABgBZAQAAnwUAAAAA&#10;">
                        <v:fill on="f" focussize="0,0"/>
                        <v:stroke weight="1.5pt" color="#000000" joinstyle="round" endarrow="block"/>
                        <v:imagedata o:title=""/>
                        <o:lock v:ext="edit" aspectratio="f"/>
                      </v:line>
                      <v:line id="_x0000_s1026" o:spid="_x0000_s1026" o:spt="20" style="position:absolute;left:2431415;top:3067050;height:292100;width:0;" filled="f" stroked="t" coordsize="21600,21600" o:gfxdata="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S+DbdQAAAAFAQAADwAAAAAAAAABACAAAAAiAAAA&#10;ZHJzL2Rvd25yZXYueG1sUEsBAhQAFAAAAAgAh07iQDkntbALAgAA+AMAAA4AAAAAAAAAAQAgAAAA&#10;IwEAAGRycy9lMm9Eb2MueG1sUEsFBgAAAAAGAAYAWQEAAKAFAAAAAA==&#10;">
                        <v:fill on="f" focussize="0,0"/>
                        <v:stroke weight="1.5pt" color="#000000" joinstyle="round" endarrow="block"/>
                        <v:imagedata o:title=""/>
                        <o:lock v:ext="edit" aspectratio="f"/>
                      </v:line>
                      <v:line id="_x0000_s1026" o:spid="_x0000_s1026" o:spt="20" style="position:absolute;left:2439670;top:3577590;height:292100;width:0;" filled="f" stroked="t" coordsize="21600,21600" o:gfxdata="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S+DbdQAAAAFAQAADwAAAAAAAAABACAAAAAiAAAA&#10;ZHJzL2Rvd25yZXYueG1sUEsBAhQAFAAAAAgAh07iQHuXufYLAgAA+AMAAA4AAAAAAAAAAQAgAAAA&#10;IwEAAGRycy9lMm9Eb2MueG1sUEsFBgAAAAAGAAYAWQEAAKAFAAAAAA==&#10;">
                        <v:fill on="f" focussize="0,0"/>
                        <v:stroke weight="1.5pt" color="#000000" joinstyle="round" endarrow="block"/>
                        <v:imagedata o:title=""/>
                        <o:lock v:ext="edit" aspectratio="f"/>
                      </v:line>
                      <w10:wrap type="none"/>
                      <w10:anchorlock/>
                    </v:group>
                  </w:pict>
                </mc:Fallback>
              </mc:AlternateContent>
            </w:r>
            <w:r>
              <w:rPr>
                <w:color w:val="auto"/>
              </w:rPr>
              <mc:AlternateContent>
                <mc:Choice Requires="wps">
                  <w:drawing>
                    <wp:anchor distT="0" distB="0" distL="114300" distR="114300" simplePos="0" relativeHeight="251666432" behindDoc="0" locked="0" layoutInCell="1" allowOverlap="1">
                      <wp:simplePos x="0" y="0"/>
                      <wp:positionH relativeFrom="column">
                        <wp:posOffset>3235960</wp:posOffset>
                      </wp:positionH>
                      <wp:positionV relativeFrom="paragraph">
                        <wp:posOffset>553085</wp:posOffset>
                      </wp:positionV>
                      <wp:extent cx="571500" cy="279400"/>
                      <wp:effectExtent l="4445" t="4445" r="18415" b="5715"/>
                      <wp:wrapNone/>
                      <wp:docPr id="60" name="文本框 60"/>
                      <wp:cNvGraphicFramePr/>
                      <a:graphic xmlns:a="http://schemas.openxmlformats.org/drawingml/2006/main">
                        <a:graphicData uri="http://schemas.microsoft.com/office/word/2010/wordprocessingShape">
                          <wps:wsp>
                            <wps:cNvSpPr txBox="1"/>
                            <wps:spPr>
                              <a:xfrm>
                                <a:off x="0" y="0"/>
                                <a:ext cx="571500" cy="279400"/>
                              </a:xfrm>
                              <a:prstGeom prst="rect">
                                <a:avLst/>
                              </a:prstGeom>
                              <a:noFill/>
                              <a:ln w="9525" cap="flat" cmpd="sng">
                                <a:solidFill>
                                  <a:srgbClr val="000000"/>
                                </a:solidFill>
                                <a:prstDash val="dash"/>
                                <a:miter/>
                                <a:headEnd type="none" w="med" len="med"/>
                                <a:tailEnd type="none" w="med" len="med"/>
                              </a:ln>
                            </wps:spPr>
                            <wps:txbx>
                              <w:txbxContent>
                                <w:p>
                                  <w:pPr>
                                    <w:jc w:val="both"/>
                                    <w:rPr>
                                      <w:rFonts w:hint="default"/>
                                      <w:lang w:val="en-US"/>
                                    </w:rPr>
                                  </w:pPr>
                                  <w:r>
                                    <w:rPr>
                                      <w:rFonts w:hint="eastAsia"/>
                                      <w:lang w:val="en-US" w:eastAsia="zh-CN"/>
                                    </w:rPr>
                                    <w:t>噪声</w:t>
                                  </w:r>
                                </w:p>
                              </w:txbxContent>
                            </wps:txbx>
                            <wps:bodyPr upright="1"/>
                          </wps:wsp>
                        </a:graphicData>
                      </a:graphic>
                    </wp:anchor>
                  </w:drawing>
                </mc:Choice>
                <mc:Fallback>
                  <w:pict>
                    <v:shape id="_x0000_s1026" o:spid="_x0000_s1026" o:spt="202" type="#_x0000_t202" style="position:absolute;left:0pt;margin-left:254.8pt;margin-top:43.55pt;height:22pt;width:45pt;z-index:251666432;mso-width-relative:page;mso-height-relative:page;" filled="f" stroked="t" coordsize="21600,21600" o:gfxdata="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&#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dgqo2gAAAAoBAAAPAAAAAAAAAAEAIAAAACIAAABk&#10;cnMvZG93bnJldi54bWxQSwECFAAUAAAACACHTuJAHM3lZQQCAAANBAAADgAAAAAAAAABACAAAAAp&#10;AQAAZHJzL2Uyb0RvYy54bWxQSwUGAAAAAAYABgBZAQAAnwUAAAAA&#10;">
                      <v:fill on="f" focussize="0,0"/>
                      <v:stroke color="#000000" joinstyle="miter" dashstyle="dash"/>
                      <v:imagedata o:title=""/>
                      <o:lock v:ext="edit" aspectratio="f"/>
                      <v:textbox>
                        <w:txbxContent>
                          <w:p>
                            <w:pPr>
                              <w:jc w:val="both"/>
                              <w:rPr>
                                <w:rFonts w:hint="default"/>
                                <w:lang w:val="en-US"/>
                              </w:rPr>
                            </w:pPr>
                            <w:r>
                              <w:rPr>
                                <w:rFonts w:hint="eastAsia"/>
                                <w:lang w:val="en-US" w:eastAsia="zh-CN"/>
                              </w:rPr>
                              <w:t>噪声</w:t>
                            </w:r>
                          </w:p>
                        </w:txbxContent>
                      </v:textbox>
                    </v:shape>
                  </w:pict>
                </mc:Fallback>
              </mc:AlternateContent>
            </w:r>
            <w:r>
              <w:rPr>
                <w:color w:val="auto"/>
              </w:rPr>
              <mc:AlternateContent>
                <mc:Choice Requires="wps">
                  <w:drawing>
                    <wp:anchor distT="0" distB="0" distL="114300" distR="114300" simplePos="0" relativeHeight="251665408" behindDoc="0" locked="0" layoutInCell="1" allowOverlap="1">
                      <wp:simplePos x="0" y="0"/>
                      <wp:positionH relativeFrom="column">
                        <wp:posOffset>2854960</wp:posOffset>
                      </wp:positionH>
                      <wp:positionV relativeFrom="paragraph">
                        <wp:posOffset>715645</wp:posOffset>
                      </wp:positionV>
                      <wp:extent cx="393700" cy="0"/>
                      <wp:effectExtent l="0" t="38100" r="2540" b="38100"/>
                      <wp:wrapNone/>
                      <wp:docPr id="57" name="直接连接符 57"/>
                      <wp:cNvGraphicFramePr/>
                      <a:graphic xmlns:a="http://schemas.openxmlformats.org/drawingml/2006/main">
                        <a:graphicData uri="http://schemas.microsoft.com/office/word/2010/wordprocessingShape">
                          <wps:wsp>
                            <wps:cNvCnPr/>
                            <wps:spPr>
                              <a:xfrm>
                                <a:off x="0" y="0"/>
                                <a:ext cx="393700" cy="0"/>
                              </a:xfrm>
                              <a:prstGeom prst="line">
                                <a:avLst/>
                              </a:prstGeom>
                              <a:ln w="19050"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margin-left:224.8pt;margin-top:56.35pt;height:0pt;width:31pt;z-index:251665408;mso-width-relative:page;mso-height-relative:page;" filled="f" stroked="t" coordsize="21600,21600" o:gfxdata="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1AUOdgAAAALAQAADwAAAAAAAAABACAAAAAiAAAAZHJzL2Rvd25y&#10;ZXYueG1sUEsBAhQAFAAAAAgAh07iQOT0wr3+AQAA6QMAAA4AAAAAAAAAAQAgAAAAJwEAAGRycy9l&#10;Mm9Eb2MueG1sUEsFBgAAAAAGAAYAWQEAAJcFAAAAAA==&#10;">
                      <v:fill on="f" focussize="0,0"/>
                      <v:stroke weight="1.5pt" color="#000000" joinstyle="round" dashstyle="dash" endarrow="block"/>
                      <v:imagedata o:title=""/>
                      <o:lock v:ext="edit" aspectratio="f"/>
                    </v:line>
                  </w:pict>
                </mc:Fallback>
              </mc:AlternateContent>
            </w:r>
            <w:r>
              <w:rPr>
                <w:color w:val="auto"/>
              </w:rPr>
              <mc:AlternateContent>
                <mc:Choice Requires="wps">
                  <w:drawing>
                    <wp:anchor distT="0" distB="0" distL="114300" distR="114300" simplePos="0" relativeHeight="251663360" behindDoc="0" locked="0" layoutInCell="1" allowOverlap="1">
                      <wp:simplePos x="0" y="0"/>
                      <wp:positionH relativeFrom="column">
                        <wp:posOffset>3198495</wp:posOffset>
                      </wp:positionH>
                      <wp:positionV relativeFrom="paragraph">
                        <wp:posOffset>1264920</wp:posOffset>
                      </wp:positionV>
                      <wp:extent cx="456565" cy="1270"/>
                      <wp:effectExtent l="0" t="38100" r="635" b="36830"/>
                      <wp:wrapNone/>
                      <wp:docPr id="58" name="直接连接符 58"/>
                      <wp:cNvGraphicFramePr/>
                      <a:graphic xmlns:a="http://schemas.openxmlformats.org/drawingml/2006/main">
                        <a:graphicData uri="http://schemas.microsoft.com/office/word/2010/wordprocessingShape">
                          <wps:wsp>
                            <wps:cNvCnPr/>
                            <wps:spPr>
                              <a:xfrm flipH="1" flipV="1">
                                <a:off x="0" y="0"/>
                                <a:ext cx="456565" cy="1270"/>
                              </a:xfrm>
                              <a:prstGeom prst="line">
                                <a:avLst/>
                              </a:prstGeom>
                              <a:ln w="190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251.85pt;margin-top:99.6pt;height:0.1pt;width:35.95pt;z-index:251663360;mso-width-relative:page;mso-height-relative:page;" filled="f" stroked="t" coordsize="21600,21600" o:gfxdata="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Sv879UAAAALAQAADwAAAAAAAAABACAAAAAi&#10;AAAAZHJzL2Rvd25yZXYueG1sUEsBAhQAFAAAAAgAh07iQIId1/kNAgAAAQQAAA4AAAAAAAAAAQAg&#10;AAAAJAEAAGRycy9lMm9Eb2MueG1sUEsFBgAAAAAGAAYAWQEAAKMFAAAAAA==&#10;">
                      <v:fill on="f" focussize="0,0"/>
                      <v:stroke weight="1.5pt"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1664384" behindDoc="0" locked="0" layoutInCell="1" allowOverlap="1">
                      <wp:simplePos x="0" y="0"/>
                      <wp:positionH relativeFrom="column">
                        <wp:posOffset>3645535</wp:posOffset>
                      </wp:positionH>
                      <wp:positionV relativeFrom="paragraph">
                        <wp:posOffset>1132205</wp:posOffset>
                      </wp:positionV>
                      <wp:extent cx="943610" cy="264160"/>
                      <wp:effectExtent l="4445" t="5080" r="12065" b="5080"/>
                      <wp:wrapNone/>
                      <wp:docPr id="59" name="文本框 59"/>
                      <wp:cNvGraphicFramePr/>
                      <a:graphic xmlns:a="http://schemas.openxmlformats.org/drawingml/2006/main">
                        <a:graphicData uri="http://schemas.microsoft.com/office/word/2010/wordprocessingShape">
                          <wps:wsp>
                            <wps:cNvSpPr txBox="1"/>
                            <wps:spPr>
                              <a:xfrm>
                                <a:off x="0" y="0"/>
                                <a:ext cx="943610" cy="264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val="en-US" w:eastAsia="zh-CN"/>
                                    </w:rPr>
                                  </w:pPr>
                                  <w:r>
                                    <w:rPr>
                                      <w:rFonts w:hint="eastAsia"/>
                                      <w:lang w:val="en-US" w:eastAsia="zh-CN"/>
                                    </w:rPr>
                                    <w:t>耐碱玻纤网</w:t>
                                  </w:r>
                                </w:p>
                              </w:txbxContent>
                            </wps:txbx>
                            <wps:bodyPr upright="1"/>
                          </wps:wsp>
                        </a:graphicData>
                      </a:graphic>
                    </wp:anchor>
                  </w:drawing>
                </mc:Choice>
                <mc:Fallback>
                  <w:pict>
                    <v:shape id="_x0000_s1026" o:spid="_x0000_s1026" o:spt="202" type="#_x0000_t202" style="position:absolute;left:0pt;margin-left:287.05pt;margin-top:89.15pt;height:20.8pt;width:74.3pt;z-index:251664384;mso-width-relative:page;mso-height-relative:page;" fillcolor="#FFFFFF" filled="t" stroked="t" coordsize="21600,21600" o:gfxdata="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ISUga2gAAAAsBAAAPAAAAAAAAAAEA&#10;IAAAACIAAABkcnMvZG93bnJldi54bWxQSwECFAAUAAAACACHTuJAzqSQVw0CAAA3BAAADgAAAAAA&#10;AAABACAAAAApAQAAZHJzL2Uyb0RvYy54bWxQSwUGAAAAAAYABgBZAQAAqAUAAAAA&#10;">
                      <v:fill on="t" focussize="0,0"/>
                      <v:stroke color="#000000" joinstyle="miter"/>
                      <v:imagedata o:title=""/>
                      <o:lock v:ext="edit" aspectratio="f"/>
                      <v:textbox>
                        <w:txbxContent>
                          <w:p>
                            <w:pPr>
                              <w:rPr>
                                <w:rFonts w:hint="eastAsia" w:eastAsia="宋体"/>
                                <w:lang w:val="en-US" w:eastAsia="zh-CN"/>
                              </w:rPr>
                            </w:pPr>
                            <w:r>
                              <w:rPr>
                                <w:rFonts w:hint="eastAsia"/>
                                <w:lang w:val="en-US" w:eastAsia="zh-CN"/>
                              </w:rPr>
                              <w:t>耐碱玻纤网</w:t>
                            </w:r>
                          </w:p>
                        </w:txbxContent>
                      </v:textbox>
                    </v:shape>
                  </w:pict>
                </mc:Fallback>
              </mc:AlternateContent>
            </w:r>
          </w:p>
          <w:p>
            <w:pPr>
              <w:adjustRightInd w:val="0"/>
              <w:snapToGrid w:val="0"/>
              <w:spacing w:line="360" w:lineRule="auto"/>
              <w:ind w:firstLine="482" w:firstLineChars="200"/>
              <w:jc w:val="center"/>
              <w:rPr>
                <w:rFonts w:hint="default"/>
                <w:b/>
                <w:bCs/>
                <w:color w:val="auto"/>
                <w:sz w:val="24"/>
                <w:szCs w:val="24"/>
              </w:rPr>
            </w:pPr>
            <w:r>
              <w:rPr>
                <w:b/>
                <w:bCs/>
                <w:color w:val="auto"/>
                <w:sz w:val="24"/>
                <w:szCs w:val="24"/>
              </w:rPr>
              <w:t>图</w:t>
            </w:r>
            <w:r>
              <w:rPr>
                <w:rFonts w:hint="eastAsia"/>
                <w:b/>
                <w:bCs/>
                <w:color w:val="auto"/>
                <w:sz w:val="24"/>
                <w:szCs w:val="24"/>
                <w:lang w:val="en-US" w:eastAsia="zh-CN"/>
              </w:rPr>
              <w:t>2</w:t>
            </w:r>
            <w:r>
              <w:rPr>
                <w:b/>
                <w:bCs/>
                <w:color w:val="auto"/>
                <w:sz w:val="24"/>
                <w:szCs w:val="24"/>
              </w:rPr>
              <w:t>-</w:t>
            </w:r>
            <w:r>
              <w:rPr>
                <w:rFonts w:hint="eastAsia"/>
                <w:b/>
                <w:bCs/>
                <w:color w:val="auto"/>
                <w:sz w:val="24"/>
                <w:szCs w:val="24"/>
                <w:lang w:val="en-US" w:eastAsia="zh-CN"/>
              </w:rPr>
              <w:t>1</w:t>
            </w:r>
            <w:r>
              <w:rPr>
                <w:b/>
                <w:bCs/>
                <w:color w:val="auto"/>
                <w:sz w:val="24"/>
                <w:szCs w:val="24"/>
              </w:rPr>
              <w:t xml:space="preserve">   </w:t>
            </w:r>
            <w:r>
              <w:rPr>
                <w:rFonts w:hint="eastAsia"/>
                <w:b/>
                <w:bCs/>
                <w:color w:val="auto"/>
                <w:sz w:val="24"/>
                <w:szCs w:val="24"/>
                <w:lang w:eastAsia="zh-CN"/>
              </w:rPr>
              <w:t>免拆模板复合保温墙板</w:t>
            </w:r>
            <w:r>
              <w:rPr>
                <w:rFonts w:hint="eastAsia"/>
                <w:b/>
                <w:bCs/>
                <w:color w:val="auto"/>
                <w:sz w:val="24"/>
                <w:szCs w:val="24"/>
              </w:rPr>
              <w:t>生</w:t>
            </w:r>
            <w:r>
              <w:rPr>
                <w:b/>
                <w:bCs/>
                <w:color w:val="auto"/>
                <w:sz w:val="24"/>
                <w:szCs w:val="24"/>
              </w:rPr>
              <w:t>产工艺及产污节点示意图</w:t>
            </w:r>
          </w:p>
          <w:p>
            <w:pPr>
              <w:adjustRightInd w:val="0"/>
              <w:snapToGrid w:val="0"/>
              <w:spacing w:line="360" w:lineRule="auto"/>
              <w:rPr>
                <w:rFonts w:hint="default"/>
                <w:color w:val="auto"/>
                <w:sz w:val="24"/>
                <w:szCs w:val="24"/>
              </w:rPr>
            </w:pPr>
            <w:r>
              <w:rPr>
                <w:rFonts w:hint="default"/>
                <w:color w:val="auto"/>
                <w:sz w:val="24"/>
                <w:szCs w:val="24"/>
              </w:rPr>
              <w:t>工艺过程说明：</w:t>
            </w:r>
          </w:p>
          <w:p>
            <w:pPr>
              <w:adjustRightInd w:val="0"/>
              <w:snapToGrid w:val="0"/>
              <w:spacing w:line="360" w:lineRule="auto"/>
              <w:ind w:firstLine="480" w:firstLineChars="200"/>
              <w:rPr>
                <w:rFonts w:hint="eastAsia"/>
                <w:color w:val="auto"/>
                <w:sz w:val="24"/>
                <w:szCs w:val="24"/>
              </w:rPr>
            </w:pPr>
            <w:r>
              <w:rPr>
                <w:rFonts w:hint="eastAsia"/>
                <w:color w:val="auto"/>
                <w:sz w:val="24"/>
                <w:szCs w:val="24"/>
                <w:lang w:eastAsia="zh-CN"/>
              </w:rPr>
              <w:t>首先购置成品</w:t>
            </w:r>
            <w:r>
              <w:rPr>
                <w:rFonts w:hint="eastAsia"/>
                <w:color w:val="auto"/>
                <w:sz w:val="24"/>
                <w:szCs w:val="24"/>
                <w:lang w:val="en-US" w:eastAsia="zh-CN"/>
              </w:rPr>
              <w:t>XPS</w:t>
            </w:r>
            <w:r>
              <w:rPr>
                <w:rFonts w:hint="default"/>
                <w:color w:val="auto"/>
                <w:sz w:val="24"/>
                <w:szCs w:val="24"/>
              </w:rPr>
              <w:t>板材</w:t>
            </w:r>
            <w:r>
              <w:rPr>
                <w:rFonts w:hint="eastAsia"/>
                <w:color w:val="auto"/>
                <w:sz w:val="24"/>
                <w:szCs w:val="24"/>
                <w:lang w:eastAsia="zh-CN"/>
              </w:rPr>
              <w:t>（</w:t>
            </w:r>
            <w:r>
              <w:rPr>
                <w:rFonts w:hint="eastAsia"/>
                <w:color w:val="auto"/>
                <w:sz w:val="24"/>
                <w:szCs w:val="24"/>
                <w:lang w:val="en-US" w:eastAsia="zh-CN"/>
              </w:rPr>
              <w:t>绝热用挤塑聚苯乙烯泡沫塑料板</w:t>
            </w:r>
            <w:r>
              <w:rPr>
                <w:rFonts w:hint="eastAsia"/>
                <w:color w:val="auto"/>
                <w:sz w:val="24"/>
                <w:szCs w:val="24"/>
                <w:lang w:eastAsia="zh-CN"/>
              </w:rPr>
              <w:t>）</w:t>
            </w:r>
            <w:r>
              <w:rPr>
                <w:rFonts w:hint="default"/>
                <w:color w:val="auto"/>
                <w:sz w:val="24"/>
                <w:szCs w:val="24"/>
              </w:rPr>
              <w:t>，</w:t>
            </w:r>
            <w:r>
              <w:rPr>
                <w:rFonts w:hint="eastAsia"/>
                <w:color w:val="auto"/>
                <w:sz w:val="24"/>
                <w:szCs w:val="24"/>
                <w:lang w:eastAsia="zh-CN"/>
              </w:rPr>
              <w:t>制作前先放置框架，</w:t>
            </w:r>
            <w:r>
              <w:rPr>
                <w:rFonts w:hint="eastAsia"/>
                <w:color w:val="auto"/>
                <w:sz w:val="24"/>
                <w:szCs w:val="24"/>
                <w:lang w:val="en-US" w:eastAsia="zh-CN"/>
              </w:rPr>
              <w:t>开设凹槽，然后</w:t>
            </w:r>
            <w:r>
              <w:rPr>
                <w:rFonts w:hint="default"/>
                <w:color w:val="auto"/>
                <w:sz w:val="24"/>
                <w:szCs w:val="24"/>
              </w:rPr>
              <w:t>铺设保温内侧粘结加强层，</w:t>
            </w:r>
            <w:r>
              <w:rPr>
                <w:rFonts w:hint="eastAsia"/>
                <w:color w:val="auto"/>
                <w:sz w:val="24"/>
                <w:szCs w:val="24"/>
                <w:lang w:eastAsia="zh-CN"/>
              </w:rPr>
              <w:t>一般用一层耐碱玻纤网或根据买方要求的强度铺设多层；</w:t>
            </w:r>
            <w:r>
              <w:rPr>
                <w:rFonts w:hint="default"/>
                <w:color w:val="auto"/>
                <w:sz w:val="24"/>
                <w:szCs w:val="24"/>
              </w:rPr>
              <w:t>养护7天</w:t>
            </w:r>
            <w:r>
              <w:rPr>
                <w:rFonts w:hint="eastAsia"/>
                <w:color w:val="auto"/>
                <w:sz w:val="24"/>
                <w:szCs w:val="24"/>
                <w:lang w:eastAsia="zh-CN"/>
              </w:rPr>
              <w:t>后</w:t>
            </w:r>
            <w:r>
              <w:rPr>
                <w:rFonts w:hint="default"/>
                <w:color w:val="auto"/>
                <w:sz w:val="24"/>
                <w:szCs w:val="24"/>
              </w:rPr>
              <w:t>，</w:t>
            </w:r>
            <w:r>
              <w:rPr>
                <w:rFonts w:hint="eastAsia"/>
                <w:color w:val="auto"/>
                <w:sz w:val="24"/>
                <w:szCs w:val="24"/>
                <w:lang w:eastAsia="zh-CN"/>
              </w:rPr>
              <w:t>铺设</w:t>
            </w:r>
            <w:r>
              <w:rPr>
                <w:rFonts w:hint="default"/>
                <w:color w:val="auto"/>
                <w:sz w:val="24"/>
                <w:szCs w:val="24"/>
              </w:rPr>
              <w:t>保温板外侧粘结层、</w:t>
            </w:r>
            <w:r>
              <w:rPr>
                <w:rFonts w:hint="eastAsia"/>
                <w:color w:val="auto"/>
                <w:sz w:val="24"/>
                <w:szCs w:val="24"/>
                <w:lang w:eastAsia="zh-CN"/>
              </w:rPr>
              <w:t>铺设钢筋网架</w:t>
            </w:r>
            <w:r>
              <w:rPr>
                <w:rFonts w:hint="default"/>
                <w:color w:val="auto"/>
                <w:sz w:val="24"/>
                <w:szCs w:val="24"/>
              </w:rPr>
              <w:t>、</w:t>
            </w:r>
            <w:r>
              <w:rPr>
                <w:rFonts w:hint="eastAsia"/>
                <w:color w:val="auto"/>
                <w:sz w:val="24"/>
                <w:szCs w:val="24"/>
                <w:lang w:eastAsia="zh-CN"/>
              </w:rPr>
              <w:t>铺设</w:t>
            </w:r>
            <w:r>
              <w:rPr>
                <w:rFonts w:hint="default"/>
                <w:color w:val="auto"/>
                <w:sz w:val="24"/>
                <w:szCs w:val="24"/>
              </w:rPr>
              <w:t>保温过渡层和外侧粘结加强层，自然养护28天后即为成品，根据订单要求，需要进行切边处理的，进入切边工序；不需要进行切边的，产品可以直接外售。</w:t>
            </w:r>
          </w:p>
          <w:p>
            <w:pPr>
              <w:pStyle w:val="19"/>
              <w:widowControl w:val="0"/>
              <w:spacing w:before="0" w:beforeAutospacing="0" w:after="0" w:afterAutospacing="0" w:line="360" w:lineRule="auto"/>
              <w:jc w:val="both"/>
              <w:rPr>
                <w:b/>
                <w:bCs/>
                <w:color w:val="auto"/>
              </w:rPr>
            </w:pPr>
            <w:r>
              <w:rPr>
                <w:rFonts w:hint="eastAsia"/>
                <w:b/>
                <w:bCs/>
                <w:color w:val="auto"/>
              </w:rPr>
              <w:t>二、</w:t>
            </w:r>
            <w:r>
              <w:rPr>
                <w:b/>
                <w:bCs/>
                <w:color w:val="auto"/>
              </w:rPr>
              <w:t>叠合楼板：</w:t>
            </w:r>
          </w:p>
          <w:p>
            <w:pPr>
              <w:spacing w:line="360" w:lineRule="auto"/>
              <w:ind w:firstLine="480" w:firstLineChars="200"/>
              <w:rPr>
                <w:color w:val="auto"/>
                <w:sz w:val="24"/>
                <w:szCs w:val="24"/>
              </w:rPr>
            </w:pPr>
            <w:r>
              <w:rPr>
                <w:rFonts w:hint="eastAsia"/>
                <w:color w:val="auto"/>
                <w:sz w:val="24"/>
                <w:szCs w:val="24"/>
              </w:rPr>
              <w:t>将原材料投料—配比搅拌—划线—安装预埋件、钢筋网、钢筋架—浇筑—震动—拉毛—养护—吊装—包装入库待售。具体步骤为：</w:t>
            </w:r>
            <w:r>
              <w:rPr>
                <w:color w:val="auto"/>
                <w:sz w:val="24"/>
                <w:szCs w:val="24"/>
              </w:rPr>
              <w:t>原材料首先进行投料，投料后进行配比搅拌，该过程中有噪声和粉尘产生，配比搅拌后进行划线，划线后安装预埋件、钢筋网、钢筋架，该过程有噪声产生，震动后进行拉毛，拉毛过程中有噪声产生。拉毛后进行</w:t>
            </w:r>
            <w:r>
              <w:rPr>
                <w:rFonts w:hint="eastAsia"/>
                <w:color w:val="auto"/>
                <w:sz w:val="24"/>
                <w:szCs w:val="24"/>
              </w:rPr>
              <w:t>蒸汽</w:t>
            </w:r>
            <w:r>
              <w:rPr>
                <w:color w:val="auto"/>
                <w:sz w:val="24"/>
                <w:szCs w:val="24"/>
              </w:rPr>
              <w:t>养护，</w:t>
            </w:r>
            <w:r>
              <w:rPr>
                <w:rFonts w:hint="eastAsia"/>
                <w:color w:val="auto"/>
                <w:sz w:val="24"/>
                <w:szCs w:val="24"/>
              </w:rPr>
              <w:t>蒸汽</w:t>
            </w:r>
            <w:r>
              <w:rPr>
                <w:color w:val="auto"/>
                <w:sz w:val="24"/>
                <w:szCs w:val="24"/>
              </w:rPr>
              <w:t>养护后进行吊装包装，包装后入库待售。</w:t>
            </w:r>
          </w:p>
          <w:p>
            <w:pPr>
              <w:pStyle w:val="19"/>
              <w:widowControl w:val="0"/>
              <w:spacing w:before="0" w:beforeAutospacing="0" w:after="0" w:afterAutospacing="0" w:line="360" w:lineRule="auto"/>
              <w:jc w:val="center"/>
              <w:rPr>
                <w:rFonts w:hint="eastAsia"/>
                <w:color w:val="auto"/>
                <w:lang w:eastAsia="zh-CN"/>
              </w:rPr>
            </w:pPr>
            <w:r>
              <w:rPr>
                <w:rFonts w:hint="eastAsia"/>
                <w:color w:val="auto"/>
                <w:lang w:eastAsia="zh-CN"/>
              </w:rPr>
              <w:drawing>
                <wp:inline distT="0" distB="0" distL="114300" distR="114300">
                  <wp:extent cx="5300980" cy="2675890"/>
                  <wp:effectExtent l="0" t="0" r="2540" b="6350"/>
                  <wp:docPr id="12" name="图片 12" descr="IMG_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5152"/>
                          <pic:cNvPicPr>
                            <a:picLocks noChangeAspect="1"/>
                          </pic:cNvPicPr>
                        </pic:nvPicPr>
                        <pic:blipFill>
                          <a:blip r:embed="rId13"/>
                          <a:stretch>
                            <a:fillRect/>
                          </a:stretch>
                        </pic:blipFill>
                        <pic:spPr>
                          <a:xfrm>
                            <a:off x="0" y="0"/>
                            <a:ext cx="5300980" cy="2675890"/>
                          </a:xfrm>
                          <a:prstGeom prst="rect">
                            <a:avLst/>
                          </a:prstGeom>
                        </pic:spPr>
                      </pic:pic>
                    </a:graphicData>
                  </a:graphic>
                </wp:inline>
              </w:drawing>
            </w:r>
          </w:p>
          <w:p>
            <w:pPr>
              <w:spacing w:line="360" w:lineRule="auto"/>
              <w:jc w:val="center"/>
              <w:rPr>
                <w:b/>
                <w:bCs/>
                <w:color w:val="auto"/>
                <w:sz w:val="24"/>
                <w:szCs w:val="24"/>
              </w:rPr>
            </w:pPr>
            <w:r>
              <w:rPr>
                <w:b/>
                <w:bCs/>
                <w:color w:val="auto"/>
                <w:sz w:val="24"/>
                <w:szCs w:val="24"/>
              </w:rPr>
              <w:t>图</w:t>
            </w:r>
            <w:r>
              <w:rPr>
                <w:rFonts w:hint="eastAsia"/>
                <w:b/>
                <w:bCs/>
                <w:color w:val="auto"/>
                <w:sz w:val="24"/>
                <w:szCs w:val="24"/>
                <w:lang w:val="en-US" w:eastAsia="zh-CN"/>
              </w:rPr>
              <w:t>2</w:t>
            </w:r>
            <w:r>
              <w:rPr>
                <w:b/>
                <w:bCs/>
                <w:color w:val="auto"/>
                <w:sz w:val="24"/>
                <w:szCs w:val="24"/>
              </w:rPr>
              <w:t>-</w:t>
            </w:r>
            <w:r>
              <w:rPr>
                <w:rFonts w:hint="eastAsia"/>
                <w:b/>
                <w:bCs/>
                <w:color w:val="auto"/>
                <w:sz w:val="24"/>
                <w:szCs w:val="24"/>
                <w:lang w:val="en-US" w:eastAsia="zh-CN"/>
              </w:rPr>
              <w:t>2</w:t>
            </w:r>
            <w:r>
              <w:rPr>
                <w:rFonts w:hint="eastAsia"/>
                <w:b/>
                <w:bCs/>
                <w:color w:val="auto"/>
                <w:sz w:val="24"/>
                <w:szCs w:val="24"/>
              </w:rPr>
              <w:t xml:space="preserve"> </w:t>
            </w:r>
            <w:r>
              <w:rPr>
                <w:b/>
                <w:bCs/>
                <w:color w:val="auto"/>
                <w:sz w:val="24"/>
                <w:szCs w:val="24"/>
              </w:rPr>
              <w:t xml:space="preserve">    叠合楼板生产工艺及产污节点示意图</w:t>
            </w:r>
          </w:p>
          <w:p>
            <w:pPr>
              <w:pStyle w:val="19"/>
              <w:widowControl w:val="0"/>
              <w:spacing w:before="0" w:beforeAutospacing="0" w:after="0" w:afterAutospacing="0" w:line="36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三、PC构件：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PC构件即混凝土预制件，是在工厂中通过标准化、机械化方式加工生产的混凝土制品，本项目的PC构件生产工艺流程和产污环节如下：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钢筋半成品加工及骨架入膜（在密闭的生产车间内进行</w:t>
            </w:r>
            <w:r>
              <w:rPr>
                <w:rFonts w:hint="default" w:ascii="Times New Roman" w:hAnsi="Times New Roman" w:cs="Times New Roman"/>
                <w:color w:val="auto"/>
                <w:sz w:val="24"/>
                <w:szCs w:val="24"/>
                <w:lang w:val="en-US"/>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①切割：将钢筋进行切割，该工序会产生噪声、切割粉尘和废钢筋。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②焊接：利用电焊机将切割好的钢筋焊接起来，该工序会产生焊接烟尘和噪声。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③打磨：利用磨光机将钢筋进行打磨，该工序会产生打磨粉尘和噪声。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4 \* GB3</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④</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原材料检查：将检验合格的钢筋骨架、金属埋件、吊环、电器盒和钢筋套筒放入相应的组装好的模具内。安装完毕后，对其平面位置、纵横向稳定性等进行检查。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混凝土浇筑、振捣：将安装好的模具内浇入混凝土，振动成型。浇筑时尽量避开预埋件及预埋件工装。浇筑时控制混凝土厚度，在基本达到厚度要求时停止下料。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刮平：将混凝土表面刮平，确保混凝土厚度不超出模具上沿，确保表面基本平整，外表面无凹凸现象，四周侧板的上沿（基准面）要清理干净，避免边沿超厚或有毛边。该工序会产生废混凝土。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预养：刮平后将移入立体养护窑进行养护，养护室采用蒸汽散热片供热，养护温度约</w:t>
            </w:r>
            <w:r>
              <w:rPr>
                <w:rFonts w:hint="default" w:ascii="Times New Roman" w:hAnsi="Times New Roman" w:cs="Times New Roman"/>
                <w:color w:val="auto"/>
                <w:sz w:val="24"/>
                <w:szCs w:val="24"/>
                <w:lang w:val="en-US"/>
              </w:rPr>
              <w:t>55°</w:t>
            </w:r>
            <w:r>
              <w:rPr>
                <w:rFonts w:hint="default" w:ascii="Times New Roman" w:hAnsi="Times New Roman" w:cs="Times New Roman"/>
                <w:color w:val="auto"/>
                <w:sz w:val="24"/>
                <w:szCs w:val="24"/>
                <w:lang w:eastAsia="zh-CN"/>
              </w:rPr>
              <w:t>C</w:t>
            </w:r>
            <w:r>
              <w:rPr>
                <w:rFonts w:hint="default" w:ascii="Times New Roman" w:hAnsi="Times New Roman" w:cs="Times New Roman"/>
                <w:color w:val="auto"/>
                <w:sz w:val="24"/>
                <w:szCs w:val="24"/>
                <w:lang w:val="en-US"/>
              </w:rPr>
              <w:t>，</w:t>
            </w:r>
            <w:r>
              <w:rPr>
                <w:rFonts w:hint="default" w:ascii="Times New Roman" w:hAnsi="Times New Roman" w:cs="Times New Roman"/>
                <w:color w:val="auto"/>
                <w:sz w:val="24"/>
                <w:szCs w:val="24"/>
              </w:rPr>
              <w:t>养护时间约8小时，该工序会产生冷凝水。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抹面：预养后进行混凝土的表面抹光，该工序会产生废混凝土。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养护：进行洒水养护，进一步硬化。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拆模、清模、组模：养护成型后的构件需拆除四周模板，拆下的模板需清理表面遗留的混凝土。清理干净后的模板根据设计要求，选择正确型号拼装成型。 该工序会产生清洗废水、废混凝土和噪声。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成品检查：检验成品，不合格品进行修补。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打号：打上编号。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10</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存放：车间存放。</w:t>
            </w:r>
          </w:p>
          <w:p>
            <w:pPr>
              <w:pStyle w:val="19"/>
              <w:widowControl w:val="0"/>
              <w:spacing w:before="0" w:beforeAutospacing="0" w:after="0" w:afterAutospacing="0"/>
              <w:jc w:val="both"/>
              <w:rPr>
                <w:color w:val="auto"/>
              </w:rPr>
            </w:pPr>
            <w:r>
              <w:rPr>
                <w:color w:val="auto"/>
              </w:rPr>
              <w:drawing>
                <wp:inline distT="0" distB="0" distL="113665" distR="113665">
                  <wp:extent cx="5029200" cy="6591300"/>
                  <wp:effectExtent l="0" t="0" r="0" b="7620"/>
                  <wp:docPr id="89" name="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pic:cNvPicPr>
                            <a:picLocks noChangeAspect="1"/>
                          </pic:cNvPicPr>
                        </pic:nvPicPr>
                        <pic:blipFill>
                          <a:blip r:embed="rId14"/>
                          <a:stretch>
                            <a:fillRect/>
                          </a:stretch>
                        </pic:blipFill>
                        <pic:spPr>
                          <a:xfrm>
                            <a:off x="0" y="0"/>
                            <a:ext cx="5029200" cy="6591300"/>
                          </a:xfrm>
                          <a:prstGeom prst="rect">
                            <a:avLst/>
                          </a:prstGeom>
                          <a:noFill/>
                          <a:ln w="9525" cap="flat" cmpd="sng">
                            <a:noFill/>
                            <a:prstDash val="solid"/>
                            <a:miter/>
                          </a:ln>
                        </pic:spPr>
                      </pic:pic>
                    </a:graphicData>
                  </a:graphic>
                </wp:inline>
              </w:drawing>
            </w:r>
          </w:p>
          <w:p>
            <w:pPr>
              <w:spacing w:line="360" w:lineRule="auto"/>
              <w:jc w:val="center"/>
              <w:rPr>
                <w:b/>
                <w:bCs/>
                <w:color w:val="auto"/>
                <w:sz w:val="24"/>
                <w:szCs w:val="24"/>
              </w:rPr>
            </w:pPr>
            <w:r>
              <w:rPr>
                <w:b/>
                <w:bCs/>
                <w:color w:val="auto"/>
                <w:sz w:val="24"/>
                <w:szCs w:val="24"/>
              </w:rPr>
              <w:t>图2-</w:t>
            </w:r>
            <w:r>
              <w:rPr>
                <w:rFonts w:hint="eastAsia"/>
                <w:b/>
                <w:bCs/>
                <w:color w:val="auto"/>
                <w:sz w:val="24"/>
                <w:szCs w:val="24"/>
                <w:lang w:val="en-US" w:eastAsia="zh-CN"/>
              </w:rPr>
              <w:t>3</w:t>
            </w:r>
            <w:r>
              <w:rPr>
                <w:b/>
                <w:bCs/>
                <w:color w:val="auto"/>
                <w:sz w:val="24"/>
                <w:szCs w:val="24"/>
              </w:rPr>
              <w:t xml:space="preserve">        PC构件生产工艺及产污节点示意图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auto"/>
                <w:sz w:val="24"/>
                <w:szCs w:val="24"/>
              </w:rPr>
            </w:pPr>
            <w:r>
              <w:rPr>
                <w:rFonts w:hint="default"/>
                <w:color w:val="auto"/>
                <w:sz w:val="24"/>
                <w:szCs w:val="24"/>
              </w:rPr>
              <w:t>四、商品混凝土：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rPr>
            </w:pPr>
            <w:r>
              <w:rPr>
                <w:rFonts w:hint="default"/>
                <w:color w:val="auto"/>
                <w:sz w:val="24"/>
                <w:szCs w:val="24"/>
              </w:rPr>
              <w:t>本项目商品混凝土生产工艺相对比较简单，所有工序均为物理过程，无化学反应，搅拌楼生产区基本为全密封生产，生产时首先将各种原料进行计量配送，然后进行重量配料，之后进行强制配料，强制配料过程采用电脑控制，从而保证商品混凝土的品质，之后进行计量泵送入商品混凝土运输车。项目砂、石提升以皮带输送方式完成。通过各自罐车空压机产生的气压将水泥粉料通过送料管压入水泥筒仓内，辅以螺旋输送机给水泥秤供料，搅拌用水采用压力供水。项目生产工艺及产污环节见下图。</w:t>
            </w:r>
          </w:p>
          <w:p>
            <w:pPr>
              <w:pStyle w:val="22"/>
              <w:spacing w:after="0"/>
              <w:ind w:left="0" w:leftChars="0" w:firstLine="0" w:firstLineChars="0"/>
              <w:jc w:val="center"/>
              <w:rPr>
                <w:color w:val="auto"/>
              </w:rPr>
            </w:pPr>
            <w:r>
              <w:rPr>
                <w:rFonts w:hint="eastAsia"/>
                <w:color w:val="auto"/>
              </w:rPr>
              <mc:AlternateContent>
                <mc:Choice Requires="wps">
                  <w:drawing>
                    <wp:anchor distT="0" distB="0" distL="85090" distR="85090" simplePos="0" relativeHeight="251662336" behindDoc="0" locked="0" layoutInCell="1" allowOverlap="1">
                      <wp:simplePos x="0" y="0"/>
                      <wp:positionH relativeFrom="column">
                        <wp:posOffset>2124710</wp:posOffset>
                      </wp:positionH>
                      <wp:positionV relativeFrom="paragraph">
                        <wp:posOffset>3108960</wp:posOffset>
                      </wp:positionV>
                      <wp:extent cx="1483995" cy="291465"/>
                      <wp:effectExtent l="4445" t="5080" r="5080" b="8255"/>
                      <wp:wrapNone/>
                      <wp:docPr id="92" name="矩形"/>
                      <wp:cNvGraphicFramePr/>
                      <a:graphic xmlns:a="http://schemas.openxmlformats.org/drawingml/2006/main">
                        <a:graphicData uri="http://schemas.microsoft.com/office/word/2010/wordprocessingShape">
                          <wps:wsp>
                            <wps:cNvSpPr/>
                            <wps:spPr>
                              <a:xfrm>
                                <a:off x="0" y="0"/>
                                <a:ext cx="1483995" cy="291465"/>
                              </a:xfrm>
                              <a:prstGeom prst="rect">
                                <a:avLst/>
                              </a:prstGeom>
                              <a:solidFill>
                                <a:srgbClr val="FFFFFF"/>
                              </a:solidFill>
                              <a:ln w="9525" cap="flat" cmpd="sng">
                                <a:solidFill>
                                  <a:srgbClr val="000000"/>
                                </a:solidFill>
                                <a:prstDash val="solid"/>
                                <a:miter/>
                              </a:ln>
                            </wps:spPr>
                            <wps:txbx>
                              <w:txbxContent>
                                <w:p>
                                  <w:pPr>
                                    <w:rPr>
                                      <w:rFonts w:hint="default" w:eastAsia="宋体"/>
                                      <w:b/>
                                      <w:bCs/>
                                      <w:lang w:val="en-US" w:eastAsia="zh-CN"/>
                                    </w:rPr>
                                  </w:pPr>
                                  <w:r>
                                    <w:rPr>
                                      <w:rFonts w:hint="eastAsia"/>
                                      <w:b/>
                                      <w:bCs/>
                                      <w:lang w:val="en-US" w:eastAsia="zh-CN"/>
                                    </w:rPr>
                                    <w:t>自用或混凝土用户</w:t>
                                  </w:r>
                                </w:p>
                              </w:txbxContent>
                            </wps:txbx>
                            <wps:bodyPr vert="horz" wrap="square" lIns="91440" tIns="45720" rIns="91440" bIns="45720" anchor="t" anchorCtr="0">
                              <a:noAutofit/>
                            </wps:bodyPr>
                          </wps:wsp>
                        </a:graphicData>
                      </a:graphic>
                    </wp:anchor>
                  </w:drawing>
                </mc:Choice>
                <mc:Fallback>
                  <w:pict>
                    <v:rect id="矩形" o:spid="_x0000_s1026" o:spt="1" style="position:absolute;left:0pt;margin-left:167.3pt;margin-top:244.8pt;height:22.95pt;width:116.85pt;z-index:251662336;mso-width-relative:page;mso-height-relative:page;" fillcolor="#FFFFFF" filled="t" stroked="t" coordsize="21600,21600" o:gfxdata="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qtbtkAAAALAQAA&#10;DwAAAAAAAAABACAAAAAiAAAAZHJzL2Rvd25yZXYueG1sUEsBAhQAFAAAAAgAh07iQL5A5bEYAgAA&#10;SQQAAA4AAAAAAAAAAQAgAAAAKAEAAGRycy9lMm9Eb2MueG1sUEsFBgAAAAAGAAYAWQEAALIFAAAA&#10;AA==&#10;">
                      <v:fill on="t" focussize="0,0"/>
                      <v:stroke color="#000000" joinstyle="miter"/>
                      <v:imagedata o:title=""/>
                      <o:lock v:ext="edit" aspectratio="f"/>
                      <v:textbox>
                        <w:txbxContent>
                          <w:p>
                            <w:pPr>
                              <w:rPr>
                                <w:rFonts w:hint="default" w:eastAsia="宋体"/>
                                <w:b/>
                                <w:bCs/>
                                <w:lang w:val="en-US" w:eastAsia="zh-CN"/>
                              </w:rPr>
                            </w:pPr>
                            <w:r>
                              <w:rPr>
                                <w:rFonts w:hint="eastAsia"/>
                                <w:b/>
                                <w:bCs/>
                                <w:lang w:val="en-US" w:eastAsia="zh-CN"/>
                              </w:rPr>
                              <w:t>自用或混凝土用户</w:t>
                            </w:r>
                          </w:p>
                        </w:txbxContent>
                      </v:textbox>
                    </v:rect>
                  </w:pict>
                </mc:Fallback>
              </mc:AlternateContent>
            </w:r>
            <w:r>
              <w:rPr>
                <w:rFonts w:hint="eastAsia"/>
                <w:color w:val="auto"/>
              </w:rPr>
              <mc:AlternateContent>
                <mc:Choice Requires="wps">
                  <w:drawing>
                    <wp:anchor distT="0" distB="0" distL="85090" distR="85090" simplePos="0" relativeHeight="251662336" behindDoc="0" locked="0" layoutInCell="1" allowOverlap="1">
                      <wp:simplePos x="0" y="0"/>
                      <wp:positionH relativeFrom="column">
                        <wp:posOffset>2495550</wp:posOffset>
                      </wp:positionH>
                      <wp:positionV relativeFrom="paragraph">
                        <wp:posOffset>2371090</wp:posOffset>
                      </wp:positionV>
                      <wp:extent cx="733425" cy="297180"/>
                      <wp:effectExtent l="4445" t="5080" r="8890" b="17780"/>
                      <wp:wrapNone/>
                      <wp:docPr id="95" name="矩形"/>
                      <wp:cNvGraphicFramePr/>
                      <a:graphic xmlns:a="http://schemas.openxmlformats.org/drawingml/2006/main">
                        <a:graphicData uri="http://schemas.microsoft.com/office/word/2010/wordprocessingShape">
                          <wps:wsp>
                            <wps:cNvSpPr/>
                            <wps:spPr>
                              <a:xfrm>
                                <a:off x="0" y="0"/>
                                <a:ext cx="733425" cy="297180"/>
                              </a:xfrm>
                              <a:prstGeom prst="rect">
                                <a:avLst/>
                              </a:prstGeom>
                              <a:solidFill>
                                <a:srgbClr val="FFFFFF"/>
                              </a:solidFill>
                              <a:ln w="9525" cap="flat" cmpd="sng">
                                <a:solidFill>
                                  <a:srgbClr val="000000"/>
                                </a:solidFill>
                                <a:prstDash val="solid"/>
                                <a:miter/>
                              </a:ln>
                            </wps:spPr>
                            <wps:txbx>
                              <w:txbxContent>
                                <w:p>
                                  <w:pPr>
                                    <w:rPr>
                                      <w:b/>
                                      <w:bCs/>
                                    </w:rPr>
                                  </w:pPr>
                                  <w:r>
                                    <w:rPr>
                                      <w:b/>
                                      <w:bCs/>
                                    </w:rPr>
                                    <w:t>装入罐车</w:t>
                                  </w:r>
                                </w:p>
                              </w:txbxContent>
                            </wps:txbx>
                            <wps:bodyPr vert="horz" wrap="square" lIns="91440" tIns="45720" rIns="91440" bIns="45720" anchor="t" anchorCtr="0">
                              <a:noAutofit/>
                            </wps:bodyPr>
                          </wps:wsp>
                        </a:graphicData>
                      </a:graphic>
                    </wp:anchor>
                  </w:drawing>
                </mc:Choice>
                <mc:Fallback>
                  <w:pict>
                    <v:rect id="矩形" o:spid="_x0000_s1026" o:spt="1" style="position:absolute;left:0pt;margin-left:196.5pt;margin-top:186.7pt;height:23.4pt;width:57.75pt;z-index:251662336;mso-width-relative:page;mso-height-relative:page;" fillcolor="#FFFFFF" filled="t" stroked="t" coordsize="21600,21600" o:gfxdata="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93qJNoAAAAL&#10;AQAADwAAAAAAAAABACAAAAAiAAAAZHJzL2Rvd25yZXYueG1sUEsBAhQAFAAAAAgAh07iQIHSF8wa&#10;AgAASAQAAA4AAAAAAAAAAQAgAAAAKQEAAGRycy9lMm9Eb2MueG1sUEsFBgAAAAAGAAYAWQEAALUF&#10;AAAAAA==&#10;">
                      <v:fill on="t" focussize="0,0"/>
                      <v:stroke color="#000000" joinstyle="miter"/>
                      <v:imagedata o:title=""/>
                      <o:lock v:ext="edit" aspectratio="f"/>
                      <v:textbox>
                        <w:txbxContent>
                          <w:p>
                            <w:pPr>
                              <w:rPr>
                                <w:b/>
                                <w:bCs/>
                              </w:rPr>
                            </w:pPr>
                            <w:r>
                              <w:rPr>
                                <w:b/>
                                <w:bCs/>
                              </w:rPr>
                              <w:t>装入罐车</w:t>
                            </w:r>
                          </w:p>
                        </w:txbxContent>
                      </v:textbox>
                    </v:rect>
                  </w:pict>
                </mc:Fallback>
              </mc:AlternateContent>
            </w:r>
            <w:r>
              <w:rPr>
                <w:rFonts w:hint="eastAsia"/>
                <w:color w:val="auto"/>
              </w:rPr>
              <w:drawing>
                <wp:inline distT="0" distB="0" distL="114300" distR="114300">
                  <wp:extent cx="5087620" cy="3665220"/>
                  <wp:effectExtent l="0" t="0" r="0" b="0"/>
                  <wp:docPr id="98" name="图片" descr="C:/Users/Administrator/AppData/Local/Temp/wps.pZPzee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descr="C:/Users/Administrator/AppData/Local/Temp/wps.pZPzeewps"/>
                          <pic:cNvPicPr>
                            <a:picLocks noChangeAspect="1"/>
                          </pic:cNvPicPr>
                        </pic:nvPicPr>
                        <pic:blipFill>
                          <a:blip r:embed="rId15" cstate="screen"/>
                          <a:srcRect/>
                          <a:stretch>
                            <a:fillRect/>
                          </a:stretch>
                        </pic:blipFill>
                        <pic:spPr>
                          <a:xfrm>
                            <a:off x="0" y="0"/>
                            <a:ext cx="5087862" cy="3665220"/>
                          </a:xfrm>
                          <a:prstGeom prst="rect">
                            <a:avLst/>
                          </a:prstGeom>
                          <a:noFill/>
                          <a:ln w="9525" cap="flat" cmpd="sng">
                            <a:noFill/>
                            <a:prstDash val="solid"/>
                            <a:miter/>
                          </a:ln>
                        </pic:spPr>
                      </pic:pic>
                    </a:graphicData>
                  </a:graphic>
                </wp:inline>
              </w:drawing>
            </w:r>
          </w:p>
          <w:p>
            <w:pPr>
              <w:bidi w:val="0"/>
              <w:jc w:val="center"/>
              <w:rPr>
                <w:color w:val="auto"/>
              </w:rPr>
            </w:pPr>
            <w:r>
              <w:rPr>
                <w:b/>
                <w:bCs/>
                <w:color w:val="auto"/>
                <w:sz w:val="24"/>
                <w:szCs w:val="24"/>
              </w:rPr>
              <w:t>图2-</w:t>
            </w:r>
            <w:r>
              <w:rPr>
                <w:rFonts w:hint="eastAsia"/>
                <w:b/>
                <w:bCs/>
                <w:color w:val="auto"/>
                <w:sz w:val="24"/>
                <w:szCs w:val="24"/>
                <w:lang w:val="en-US" w:eastAsia="zh-CN"/>
              </w:rPr>
              <w:t>4</w:t>
            </w:r>
            <w:r>
              <w:rPr>
                <w:b/>
                <w:bCs/>
                <w:color w:val="auto"/>
                <w:sz w:val="24"/>
                <w:szCs w:val="24"/>
              </w:rPr>
              <w:t xml:space="preserve">      </w:t>
            </w:r>
            <w:r>
              <w:rPr>
                <w:rFonts w:hint="eastAsia"/>
                <w:b/>
                <w:bCs/>
                <w:color w:val="auto"/>
                <w:sz w:val="24"/>
                <w:szCs w:val="24"/>
              </w:rPr>
              <w:t>商品混凝土</w:t>
            </w:r>
            <w:r>
              <w:rPr>
                <w:b/>
                <w:bCs/>
                <w:color w:val="auto"/>
                <w:sz w:val="24"/>
                <w:szCs w:val="24"/>
              </w:rPr>
              <w:t>生产工艺及产污节点示意图</w:t>
            </w:r>
            <w:r>
              <w:rPr>
                <w:color w:val="auto"/>
              </w:rPr>
              <w:br w:type="textWrapping"/>
            </w:r>
          </w:p>
          <w:p>
            <w:pPr>
              <w:adjustRightInd w:val="0"/>
              <w:snapToGrid w:val="0"/>
              <w:spacing w:line="360" w:lineRule="auto"/>
              <w:ind w:firstLine="241" w:firstLineChars="100"/>
              <w:rPr>
                <w:rFonts w:hint="default" w:ascii="Times New Roman" w:hAnsi="Times New Roman" w:cs="Times New Roman"/>
                <w:b/>
                <w:bCs/>
                <w:color w:val="auto"/>
                <w:sz w:val="24"/>
                <w:highlight w:val="none"/>
              </w:rPr>
            </w:pPr>
            <w:r>
              <w:rPr>
                <w:rFonts w:hint="default" w:ascii="Times New Roman" w:hAnsi="Times New Roman" w:eastAsia="宋体" w:cs="Times New Roman"/>
                <w:b/>
                <w:bCs/>
                <w:color w:val="auto"/>
                <w:kern w:val="2"/>
                <w:sz w:val="24"/>
                <w:szCs w:val="24"/>
                <w:highlight w:val="none"/>
                <w:lang w:val="en-US" w:eastAsia="zh-CN" w:bidi="ar-SA"/>
              </w:rPr>
              <w:t>主要污染工序：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auto"/>
                <w:sz w:val="24"/>
              </w:rPr>
            </w:pPr>
            <w:r>
              <w:rPr>
                <w:rFonts w:hint="eastAsia"/>
                <w:color w:val="auto"/>
                <w:sz w:val="24"/>
              </w:rPr>
              <w:t>本项目建成后主要产污环节为废气</w:t>
            </w:r>
            <w:r>
              <w:rPr>
                <w:color w:val="auto"/>
                <w:sz w:val="24"/>
              </w:rPr>
              <w:t>、</w:t>
            </w:r>
            <w:r>
              <w:rPr>
                <w:rFonts w:hint="eastAsia"/>
                <w:color w:val="auto"/>
                <w:sz w:val="24"/>
                <w:lang w:val="en-US" w:eastAsia="zh-CN"/>
              </w:rPr>
              <w:t>废水、</w:t>
            </w:r>
            <w:r>
              <w:rPr>
                <w:rFonts w:hint="eastAsia"/>
                <w:color w:val="auto"/>
                <w:sz w:val="24"/>
              </w:rPr>
              <w:t>噪声及固废。</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rPr>
            </w:pPr>
            <w:r>
              <w:rPr>
                <w:rFonts w:hint="eastAsia"/>
                <w:color w:val="auto"/>
                <w:sz w:val="24"/>
              </w:rPr>
              <w:t>建成后运行期间主要产污环节分析见图</w:t>
            </w:r>
            <w:r>
              <w:rPr>
                <w:rFonts w:hint="eastAsia"/>
                <w:color w:val="auto"/>
                <w:sz w:val="24"/>
                <w:lang w:val="en-US" w:eastAsia="zh-CN"/>
              </w:rPr>
              <w:t>2-4和表2-1-1所示</w:t>
            </w:r>
            <w:r>
              <w:rPr>
                <w:rFonts w:hint="eastAsia"/>
                <w:color w:val="auto"/>
                <w:sz w:val="24"/>
              </w:rPr>
              <w:t>。</w:t>
            </w:r>
          </w:p>
          <w:p>
            <w:pPr>
              <w:pStyle w:val="4"/>
              <w:numPr>
                <w:ilvl w:val="0"/>
                <w:numId w:val="0"/>
              </w:numPr>
              <w:spacing w:line="240" w:lineRule="auto"/>
              <w:jc w:val="center"/>
              <w:rPr>
                <w:rFonts w:hint="default" w:ascii="Times New Roman" w:hAnsi="Times New Roman" w:eastAsia="宋体" w:cs="Times New Roman"/>
                <w:b/>
                <w:color w:val="auto"/>
                <w:kern w:val="2"/>
                <w:sz w:val="21"/>
                <w:szCs w:val="22"/>
                <w:lang w:val="en-US" w:eastAsia="zh-CN" w:bidi="ar-SA"/>
              </w:rPr>
            </w:pPr>
            <w:r>
              <w:rPr>
                <w:rFonts w:hint="default" w:ascii="Times New Roman" w:hAnsi="Times New Roman" w:eastAsia="宋体" w:cs="Times New Roman"/>
                <w:b/>
                <w:color w:val="auto"/>
                <w:kern w:val="2"/>
                <w:sz w:val="21"/>
                <w:szCs w:val="22"/>
                <w:lang w:val="zh-CN" w:eastAsia="zh-CN" w:bidi="ar-SA"/>
              </w:rPr>
              <w:t>表2</w:t>
            </w:r>
            <w:r>
              <w:rPr>
                <w:rFonts w:hint="eastAsia" w:ascii="Times New Roman" w:hAnsi="Times New Roman" w:eastAsia="宋体" w:cs="Times New Roman"/>
                <w:b/>
                <w:color w:val="auto"/>
                <w:kern w:val="2"/>
                <w:sz w:val="21"/>
                <w:szCs w:val="22"/>
                <w:lang w:val="en-US" w:eastAsia="zh-CN" w:bidi="ar-SA"/>
              </w:rPr>
              <w:t>-</w:t>
            </w:r>
            <w:r>
              <w:rPr>
                <w:rFonts w:hint="eastAsia" w:ascii="Times New Roman" w:hAnsi="Times New Roman" w:cs="Times New Roman"/>
                <w:b/>
                <w:color w:val="auto"/>
                <w:kern w:val="2"/>
                <w:sz w:val="21"/>
                <w:szCs w:val="22"/>
                <w:lang w:val="en-US" w:eastAsia="zh-CN" w:bidi="ar-SA"/>
              </w:rPr>
              <w:t>1</w:t>
            </w:r>
            <w:r>
              <w:rPr>
                <w:rFonts w:hint="eastAsia" w:ascii="Times New Roman" w:hAnsi="Times New Roman" w:eastAsia="宋体" w:cs="Times New Roman"/>
                <w:b/>
                <w:color w:val="auto"/>
                <w:kern w:val="2"/>
                <w:sz w:val="21"/>
                <w:szCs w:val="22"/>
                <w:lang w:val="en-US" w:eastAsia="zh-CN" w:bidi="ar-SA"/>
              </w:rPr>
              <w:t xml:space="preserve">  </w:t>
            </w:r>
            <w:r>
              <w:rPr>
                <w:rFonts w:hint="default" w:ascii="Times New Roman" w:hAnsi="Times New Roman" w:eastAsia="宋体" w:cs="Times New Roman"/>
                <w:b/>
                <w:color w:val="auto"/>
                <w:kern w:val="2"/>
                <w:sz w:val="21"/>
                <w:szCs w:val="22"/>
                <w:lang w:val="zh-CN" w:eastAsia="zh-CN" w:bidi="ar-SA"/>
              </w:rPr>
              <w:t xml:space="preserve"> </w:t>
            </w:r>
            <w:r>
              <w:rPr>
                <w:rFonts w:hint="eastAsia" w:ascii="Times New Roman" w:hAnsi="Times New Roman" w:eastAsia="宋体" w:cs="Times New Roman"/>
                <w:b/>
                <w:color w:val="auto"/>
                <w:kern w:val="2"/>
                <w:sz w:val="21"/>
                <w:szCs w:val="22"/>
                <w:lang w:val="en-US" w:eastAsia="zh-CN" w:bidi="ar-SA"/>
              </w:rPr>
              <w:t>营运期主要污染工序</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35"/>
              <w:gridCol w:w="2169"/>
              <w:gridCol w:w="1490"/>
              <w:gridCol w:w="370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735" w:type="dxa"/>
                  <w:tcBorders>
                    <w:tl2br w:val="nil"/>
                    <w:tr2bl w:val="nil"/>
                  </w:tcBorders>
                  <w:noWrap w:val="0"/>
                  <w:vAlign w:val="center"/>
                </w:tcPr>
                <w:p>
                  <w:pPr>
                    <w:bidi w:val="0"/>
                    <w:jc w:val="center"/>
                    <w:rPr>
                      <w:rFonts w:hint="default"/>
                      <w:color w:val="auto"/>
                      <w:sz w:val="21"/>
                      <w:szCs w:val="21"/>
                      <w:lang w:val="en-US" w:eastAsia="zh-CN"/>
                    </w:rPr>
                  </w:pPr>
                  <w:r>
                    <w:rPr>
                      <w:rFonts w:hint="default"/>
                      <w:color w:val="auto"/>
                      <w:sz w:val="21"/>
                      <w:szCs w:val="21"/>
                      <w:lang w:val="en-US" w:eastAsia="zh-CN"/>
                    </w:rPr>
                    <w:t>项目</w:t>
                  </w:r>
                </w:p>
              </w:tc>
              <w:tc>
                <w:tcPr>
                  <w:tcW w:w="2169" w:type="dxa"/>
                  <w:tcBorders>
                    <w:tl2br w:val="nil"/>
                    <w:tr2bl w:val="nil"/>
                  </w:tcBorders>
                  <w:noWrap w:val="0"/>
                  <w:vAlign w:val="center"/>
                </w:tcPr>
                <w:p>
                  <w:pPr>
                    <w:bidi w:val="0"/>
                    <w:jc w:val="center"/>
                    <w:rPr>
                      <w:rFonts w:hint="default"/>
                      <w:color w:val="auto"/>
                      <w:sz w:val="21"/>
                      <w:szCs w:val="21"/>
                      <w:lang w:val="en-US" w:eastAsia="zh-CN"/>
                    </w:rPr>
                  </w:pPr>
                  <w:r>
                    <w:rPr>
                      <w:rFonts w:hint="default"/>
                      <w:color w:val="auto"/>
                      <w:sz w:val="21"/>
                      <w:szCs w:val="21"/>
                      <w:lang w:val="en-US" w:eastAsia="zh-CN"/>
                    </w:rPr>
                    <w:t>产污环节</w:t>
                  </w:r>
                </w:p>
              </w:tc>
              <w:tc>
                <w:tcPr>
                  <w:tcW w:w="1490" w:type="dxa"/>
                  <w:tcBorders>
                    <w:tl2br w:val="nil"/>
                    <w:tr2bl w:val="nil"/>
                  </w:tcBorders>
                  <w:noWrap w:val="0"/>
                  <w:vAlign w:val="center"/>
                </w:tcPr>
                <w:p>
                  <w:pPr>
                    <w:bidi w:val="0"/>
                    <w:jc w:val="center"/>
                    <w:rPr>
                      <w:rFonts w:hint="default"/>
                      <w:color w:val="auto"/>
                      <w:sz w:val="21"/>
                      <w:szCs w:val="21"/>
                      <w:lang w:val="en-US" w:eastAsia="zh-CN"/>
                    </w:rPr>
                  </w:pPr>
                  <w:r>
                    <w:rPr>
                      <w:rFonts w:hint="default"/>
                      <w:color w:val="auto"/>
                      <w:sz w:val="21"/>
                      <w:szCs w:val="21"/>
                      <w:lang w:val="en-US" w:eastAsia="zh-CN"/>
                    </w:rPr>
                    <w:t>主要污染因子</w:t>
                  </w:r>
                </w:p>
              </w:tc>
              <w:tc>
                <w:tcPr>
                  <w:tcW w:w="3709" w:type="dxa"/>
                  <w:tcBorders>
                    <w:tl2br w:val="nil"/>
                    <w:tr2bl w:val="nil"/>
                  </w:tcBorders>
                  <w:noWrap w:val="0"/>
                  <w:vAlign w:val="center"/>
                </w:tcPr>
                <w:p>
                  <w:pPr>
                    <w:bidi w:val="0"/>
                    <w:jc w:val="center"/>
                    <w:rPr>
                      <w:rFonts w:hint="default"/>
                      <w:color w:val="auto"/>
                      <w:sz w:val="21"/>
                      <w:szCs w:val="21"/>
                      <w:lang w:val="en-US" w:eastAsia="zh-CN"/>
                    </w:rPr>
                  </w:pPr>
                  <w:r>
                    <w:rPr>
                      <w:rFonts w:hint="default"/>
                      <w:color w:val="auto"/>
                      <w:sz w:val="21"/>
                      <w:szCs w:val="21"/>
                      <w:lang w:val="en-US" w:eastAsia="zh-CN"/>
                    </w:rPr>
                    <w:t>排放去向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07" w:hRule="atLeast"/>
                <w:jc w:val="center"/>
              </w:trPr>
              <w:tc>
                <w:tcPr>
                  <w:tcW w:w="735" w:type="dxa"/>
                  <w:vMerge w:val="restart"/>
                  <w:tcBorders>
                    <w:tl2br w:val="nil"/>
                    <w:tr2bl w:val="nil"/>
                  </w:tcBorders>
                  <w:noWrap w:val="0"/>
                  <w:vAlign w:val="center"/>
                </w:tcPr>
                <w:p>
                  <w:pPr>
                    <w:bidi w:val="0"/>
                    <w:jc w:val="center"/>
                    <w:rPr>
                      <w:rFonts w:hint="default"/>
                      <w:color w:val="auto"/>
                      <w:sz w:val="21"/>
                      <w:szCs w:val="21"/>
                      <w:lang w:val="en-US" w:eastAsia="zh-CN"/>
                    </w:rPr>
                  </w:pPr>
                  <w:r>
                    <w:rPr>
                      <w:rFonts w:hint="default"/>
                      <w:color w:val="auto"/>
                      <w:sz w:val="21"/>
                      <w:szCs w:val="21"/>
                      <w:lang w:val="en-US" w:eastAsia="zh-CN"/>
                    </w:rPr>
                    <w:t>废气</w:t>
                  </w:r>
                </w:p>
              </w:tc>
              <w:tc>
                <w:tcPr>
                  <w:tcW w:w="2169" w:type="dxa"/>
                  <w:tcBorders>
                    <w:tl2br w:val="nil"/>
                    <w:tr2bl w:val="nil"/>
                  </w:tcBorders>
                  <w:noWrap w:val="0"/>
                  <w:vAlign w:val="center"/>
                </w:tcPr>
                <w:p>
                  <w:pPr>
                    <w:bidi w:val="0"/>
                    <w:jc w:val="center"/>
                    <w:rPr>
                      <w:rFonts w:hint="default"/>
                      <w:color w:val="auto"/>
                      <w:sz w:val="21"/>
                      <w:szCs w:val="21"/>
                      <w:lang w:val="en-US" w:eastAsia="zh-CN"/>
                    </w:rPr>
                  </w:pPr>
                  <w:r>
                    <w:rPr>
                      <w:rFonts w:hint="default"/>
                      <w:color w:val="auto"/>
                      <w:sz w:val="21"/>
                      <w:szCs w:val="21"/>
                      <w:lang w:val="en-US" w:eastAsia="zh-CN"/>
                    </w:rPr>
                    <w:t>筒仓呼吸孔粉尘</w:t>
                  </w:r>
                </w:p>
              </w:tc>
              <w:tc>
                <w:tcPr>
                  <w:tcW w:w="1490" w:type="dxa"/>
                  <w:tcBorders>
                    <w:tl2br w:val="nil"/>
                    <w:tr2bl w:val="nil"/>
                  </w:tcBorders>
                  <w:noWrap w:val="0"/>
                  <w:vAlign w:val="center"/>
                </w:tcPr>
                <w:p>
                  <w:pPr>
                    <w:bidi w:val="0"/>
                    <w:jc w:val="center"/>
                    <w:rPr>
                      <w:rFonts w:hint="default"/>
                      <w:color w:val="auto"/>
                      <w:sz w:val="21"/>
                      <w:szCs w:val="21"/>
                      <w:lang w:val="en-US" w:eastAsia="zh-CN"/>
                    </w:rPr>
                  </w:pPr>
                  <w:r>
                    <w:rPr>
                      <w:rFonts w:hint="default"/>
                      <w:color w:val="auto"/>
                      <w:sz w:val="21"/>
                      <w:szCs w:val="21"/>
                      <w:lang w:val="en-US" w:eastAsia="zh-CN"/>
                    </w:rPr>
                    <w:t>颗粒物</w:t>
                  </w:r>
                </w:p>
              </w:tc>
              <w:tc>
                <w:tcPr>
                  <w:tcW w:w="3709" w:type="dxa"/>
                  <w:tcBorders>
                    <w:tl2br w:val="nil"/>
                    <w:tr2bl w:val="nil"/>
                  </w:tcBorders>
                  <w:noWrap w:val="0"/>
                  <w:vAlign w:val="center"/>
                </w:tcPr>
                <w:p>
                  <w:pPr>
                    <w:bidi w:val="0"/>
                    <w:jc w:val="center"/>
                    <w:rPr>
                      <w:rFonts w:hint="default"/>
                      <w:color w:val="auto"/>
                      <w:sz w:val="21"/>
                      <w:szCs w:val="21"/>
                      <w:lang w:val="en-US" w:eastAsia="zh-CN"/>
                    </w:rPr>
                  </w:pPr>
                  <w:r>
                    <w:rPr>
                      <w:rFonts w:hint="default"/>
                      <w:color w:val="auto"/>
                      <w:sz w:val="21"/>
                      <w:szCs w:val="21"/>
                      <w:lang w:val="en-US" w:eastAsia="zh-CN"/>
                    </w:rPr>
                    <w:t>各筒仓顶部分别安装布袋除尘器+15m排气筒排放</w:t>
                  </w:r>
                  <w:r>
                    <w:rPr>
                      <w:rFonts w:hint="eastAsia"/>
                      <w:color w:val="auto"/>
                      <w:sz w:val="21"/>
                      <w:szCs w:val="21"/>
                      <w:lang w:val="en-US" w:eastAsia="zh-CN"/>
                    </w:rPr>
                    <w:t>，DA006-DA010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735" w:type="dxa"/>
                  <w:vMerge w:val="continue"/>
                  <w:tcBorders>
                    <w:tl2br w:val="nil"/>
                    <w:tr2bl w:val="nil"/>
                  </w:tcBorders>
                  <w:noWrap w:val="0"/>
                  <w:vAlign w:val="center"/>
                </w:tcPr>
                <w:p>
                  <w:pPr>
                    <w:bidi w:val="0"/>
                    <w:jc w:val="center"/>
                    <w:rPr>
                      <w:rFonts w:hint="default"/>
                      <w:color w:val="auto"/>
                      <w:sz w:val="21"/>
                      <w:szCs w:val="21"/>
                      <w:lang w:val="en-US" w:eastAsia="zh-CN"/>
                    </w:rPr>
                  </w:pPr>
                </w:p>
              </w:tc>
              <w:tc>
                <w:tcPr>
                  <w:tcW w:w="2169" w:type="dxa"/>
                  <w:tcBorders>
                    <w:tl2br w:val="nil"/>
                    <w:tr2bl w:val="nil"/>
                  </w:tcBorders>
                  <w:noWrap w:val="0"/>
                  <w:vAlign w:val="center"/>
                </w:tcPr>
                <w:p>
                  <w:pPr>
                    <w:bidi w:val="0"/>
                    <w:jc w:val="center"/>
                    <w:rPr>
                      <w:rFonts w:hint="default"/>
                      <w:color w:val="auto"/>
                      <w:sz w:val="21"/>
                      <w:szCs w:val="21"/>
                      <w:lang w:val="en-US" w:eastAsia="zh-CN"/>
                    </w:rPr>
                  </w:pPr>
                  <w:r>
                    <w:rPr>
                      <w:rFonts w:hint="default"/>
                      <w:color w:val="auto"/>
                      <w:sz w:val="21"/>
                      <w:szCs w:val="21"/>
                      <w:lang w:val="en-US" w:eastAsia="zh-CN"/>
                    </w:rPr>
                    <w:t>燃气锅炉</w:t>
                  </w:r>
                </w:p>
              </w:tc>
              <w:tc>
                <w:tcPr>
                  <w:tcW w:w="1490" w:type="dxa"/>
                  <w:tcBorders>
                    <w:tl2br w:val="nil"/>
                    <w:tr2bl w:val="nil"/>
                  </w:tcBorders>
                  <w:noWrap w:val="0"/>
                  <w:vAlign w:val="center"/>
                </w:tcPr>
                <w:p>
                  <w:pPr>
                    <w:bidi w:val="0"/>
                    <w:jc w:val="center"/>
                    <w:rPr>
                      <w:rFonts w:hint="default"/>
                      <w:color w:val="auto"/>
                      <w:sz w:val="21"/>
                      <w:szCs w:val="21"/>
                      <w:lang w:val="en-US" w:eastAsia="zh-CN"/>
                    </w:rPr>
                  </w:pPr>
                  <w:r>
                    <w:rPr>
                      <w:rFonts w:hint="default"/>
                      <w:color w:val="auto"/>
                      <w:sz w:val="21"/>
                      <w:szCs w:val="21"/>
                      <w:lang w:val="en-US" w:eastAsia="zh-CN"/>
                    </w:rPr>
                    <w:t>烟尘、二氧化硫、氮氧化物</w:t>
                  </w:r>
                </w:p>
              </w:tc>
              <w:tc>
                <w:tcPr>
                  <w:tcW w:w="3709" w:type="dxa"/>
                  <w:tcBorders>
                    <w:tl2br w:val="nil"/>
                    <w:tr2bl w:val="nil"/>
                  </w:tcBorders>
                  <w:noWrap w:val="0"/>
                  <w:vAlign w:val="center"/>
                </w:tcPr>
                <w:p>
                  <w:pPr>
                    <w:bidi w:val="0"/>
                    <w:jc w:val="center"/>
                    <w:rPr>
                      <w:rFonts w:hint="default"/>
                      <w:color w:val="auto"/>
                      <w:sz w:val="21"/>
                      <w:szCs w:val="21"/>
                      <w:lang w:val="en-US" w:eastAsia="zh-CN"/>
                    </w:rPr>
                  </w:pPr>
                  <w:r>
                    <w:rPr>
                      <w:rFonts w:hint="default"/>
                      <w:color w:val="auto"/>
                      <w:sz w:val="21"/>
                      <w:szCs w:val="21"/>
                      <w:lang w:val="en-US" w:eastAsia="zh-CN"/>
                    </w:rPr>
                    <w:t>低氮燃烧+15m高排气筒排放</w:t>
                  </w:r>
                  <w:r>
                    <w:rPr>
                      <w:rFonts w:hint="eastAsia"/>
                      <w:color w:val="auto"/>
                      <w:sz w:val="21"/>
                      <w:szCs w:val="21"/>
                      <w:lang w:val="en-US" w:eastAsia="zh-CN"/>
                    </w:rPr>
                    <w:t>，DA011、DA012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1" w:hRule="atLeast"/>
                <w:jc w:val="center"/>
              </w:trPr>
              <w:tc>
                <w:tcPr>
                  <w:tcW w:w="735" w:type="dxa"/>
                  <w:vMerge w:val="continue"/>
                  <w:tcBorders>
                    <w:tl2br w:val="nil"/>
                    <w:tr2bl w:val="nil"/>
                  </w:tcBorders>
                  <w:noWrap w:val="0"/>
                  <w:vAlign w:val="center"/>
                </w:tcPr>
                <w:p>
                  <w:pPr>
                    <w:bidi w:val="0"/>
                    <w:jc w:val="center"/>
                    <w:rPr>
                      <w:rFonts w:hint="default"/>
                      <w:color w:val="auto"/>
                      <w:sz w:val="21"/>
                      <w:szCs w:val="21"/>
                      <w:lang w:val="en-US" w:eastAsia="zh-CN"/>
                    </w:rPr>
                  </w:pPr>
                </w:p>
              </w:tc>
              <w:tc>
                <w:tcPr>
                  <w:tcW w:w="2169" w:type="dxa"/>
                  <w:tcBorders>
                    <w:tl2br w:val="nil"/>
                    <w:tr2bl w:val="nil"/>
                  </w:tcBorders>
                  <w:noWrap w:val="0"/>
                  <w:vAlign w:val="center"/>
                </w:tcPr>
                <w:p>
                  <w:pPr>
                    <w:bidi w:val="0"/>
                    <w:jc w:val="center"/>
                    <w:rPr>
                      <w:rFonts w:hint="default"/>
                      <w:color w:val="auto"/>
                      <w:sz w:val="21"/>
                      <w:szCs w:val="21"/>
                      <w:lang w:val="en-US" w:eastAsia="zh-CN"/>
                    </w:rPr>
                  </w:pPr>
                  <w:r>
                    <w:rPr>
                      <w:rFonts w:hint="default"/>
                      <w:color w:val="auto"/>
                      <w:sz w:val="21"/>
                      <w:szCs w:val="21"/>
                      <w:lang w:val="en-US" w:eastAsia="zh-CN"/>
                    </w:rPr>
                    <w:t>砂石料堆场</w:t>
                  </w:r>
                </w:p>
              </w:tc>
              <w:tc>
                <w:tcPr>
                  <w:tcW w:w="1490" w:type="dxa"/>
                  <w:tcBorders>
                    <w:tl2br w:val="nil"/>
                    <w:tr2bl w:val="nil"/>
                  </w:tcBorders>
                  <w:noWrap w:val="0"/>
                  <w:vAlign w:val="center"/>
                </w:tcPr>
                <w:p>
                  <w:pPr>
                    <w:bidi w:val="0"/>
                    <w:jc w:val="center"/>
                    <w:rPr>
                      <w:rFonts w:hint="default"/>
                      <w:color w:val="auto"/>
                      <w:sz w:val="21"/>
                      <w:szCs w:val="21"/>
                      <w:lang w:val="en-US" w:eastAsia="zh-CN"/>
                    </w:rPr>
                  </w:pPr>
                  <w:r>
                    <w:rPr>
                      <w:rFonts w:hint="default"/>
                      <w:color w:val="auto"/>
                      <w:sz w:val="21"/>
                      <w:szCs w:val="21"/>
                      <w:lang w:val="en-US" w:eastAsia="zh-CN"/>
                    </w:rPr>
                    <w:t>颗粒物</w:t>
                  </w:r>
                </w:p>
              </w:tc>
              <w:tc>
                <w:tcPr>
                  <w:tcW w:w="3709" w:type="dxa"/>
                  <w:tcBorders>
                    <w:tl2br w:val="nil"/>
                    <w:tr2bl w:val="nil"/>
                  </w:tcBorders>
                  <w:noWrap w:val="0"/>
                  <w:vAlign w:val="center"/>
                </w:tcPr>
                <w:p>
                  <w:pPr>
                    <w:bidi w:val="0"/>
                    <w:jc w:val="center"/>
                    <w:rPr>
                      <w:rFonts w:hint="default"/>
                      <w:color w:val="auto"/>
                      <w:sz w:val="21"/>
                      <w:szCs w:val="21"/>
                      <w:lang w:val="en-US" w:eastAsia="zh-CN"/>
                    </w:rPr>
                  </w:pPr>
                  <w:r>
                    <w:rPr>
                      <w:rFonts w:hint="default"/>
                      <w:color w:val="auto"/>
                      <w:sz w:val="21"/>
                      <w:szCs w:val="21"/>
                    </w:rPr>
                    <w:t>洒水、</w:t>
                  </w:r>
                  <w:r>
                    <w:rPr>
                      <w:rFonts w:hint="default"/>
                      <w:color w:val="auto"/>
                      <w:sz w:val="21"/>
                      <w:szCs w:val="21"/>
                      <w:lang w:val="zh-CN"/>
                    </w:rPr>
                    <w:t>围挡、编织覆盖（</w:t>
                  </w:r>
                  <w:r>
                    <w:rPr>
                      <w:rFonts w:hint="default"/>
                      <w:color w:val="auto"/>
                      <w:sz w:val="21"/>
                      <w:szCs w:val="21"/>
                      <w:lang w:val="en-US"/>
                    </w:rPr>
                    <w:t>密闭防尘网</w:t>
                  </w:r>
                  <w:r>
                    <w:rPr>
                      <w:rFonts w:hint="default"/>
                      <w:color w:val="auto"/>
                      <w:sz w:val="21"/>
                      <w:szCs w:val="21"/>
                      <w:lang w:val="zh-CN"/>
                    </w:rPr>
                    <w:t>）、出入车辆冲洗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1" w:hRule="atLeast"/>
                <w:jc w:val="center"/>
              </w:trPr>
              <w:tc>
                <w:tcPr>
                  <w:tcW w:w="735" w:type="dxa"/>
                  <w:vMerge w:val="restart"/>
                  <w:tcBorders>
                    <w:tl2br w:val="nil"/>
                    <w:tr2bl w:val="nil"/>
                  </w:tcBorders>
                  <w:noWrap w:val="0"/>
                  <w:vAlign w:val="center"/>
                </w:tcPr>
                <w:p>
                  <w:pPr>
                    <w:bidi w:val="0"/>
                    <w:jc w:val="center"/>
                    <w:rPr>
                      <w:rFonts w:hint="default"/>
                      <w:color w:val="auto"/>
                      <w:sz w:val="21"/>
                      <w:szCs w:val="21"/>
                      <w:lang w:val="en-US" w:eastAsia="zh-CN"/>
                    </w:rPr>
                  </w:pPr>
                  <w:r>
                    <w:rPr>
                      <w:rFonts w:hint="default"/>
                      <w:color w:val="auto"/>
                      <w:sz w:val="21"/>
                      <w:szCs w:val="21"/>
                      <w:lang w:val="en-US" w:eastAsia="zh-CN"/>
                    </w:rPr>
                    <w:t>固废</w:t>
                  </w:r>
                </w:p>
              </w:tc>
              <w:tc>
                <w:tcPr>
                  <w:tcW w:w="2169" w:type="dxa"/>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lang w:val="en-US" w:eastAsia="zh-CN"/>
                    </w:rPr>
                    <w:t>除尘器粉尘</w:t>
                  </w:r>
                </w:p>
              </w:tc>
              <w:tc>
                <w:tcPr>
                  <w:tcW w:w="1490" w:type="dxa"/>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lang w:val="en-US" w:eastAsia="zh-CN"/>
                    </w:rPr>
                    <w:t>粉尘</w:t>
                  </w:r>
                </w:p>
              </w:tc>
              <w:tc>
                <w:tcPr>
                  <w:tcW w:w="3709" w:type="dxa"/>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lang w:val="en-US" w:eastAsia="zh-CN"/>
                    </w:rPr>
                    <w:t>收集后，回用于生产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735" w:type="dxa"/>
                  <w:vMerge w:val="continue"/>
                  <w:tcBorders>
                    <w:tl2br w:val="nil"/>
                    <w:tr2bl w:val="nil"/>
                  </w:tcBorders>
                  <w:noWrap w:val="0"/>
                  <w:vAlign w:val="center"/>
                </w:tcPr>
                <w:p>
                  <w:pPr>
                    <w:bidi w:val="0"/>
                    <w:jc w:val="center"/>
                    <w:rPr>
                      <w:rFonts w:hint="default"/>
                      <w:color w:val="auto"/>
                      <w:sz w:val="21"/>
                      <w:szCs w:val="21"/>
                      <w:lang w:val="en-US" w:eastAsia="zh-CN"/>
                    </w:rPr>
                  </w:pPr>
                </w:p>
              </w:tc>
              <w:tc>
                <w:tcPr>
                  <w:tcW w:w="2169" w:type="dxa"/>
                  <w:tcBorders>
                    <w:tl2br w:val="nil"/>
                    <w:tr2bl w:val="nil"/>
                  </w:tcBorders>
                  <w:noWrap w:val="0"/>
                  <w:vAlign w:val="center"/>
                </w:tcPr>
                <w:p>
                  <w:pPr>
                    <w:bidi w:val="0"/>
                    <w:jc w:val="center"/>
                    <w:rPr>
                      <w:rFonts w:hint="default"/>
                      <w:color w:val="auto"/>
                      <w:sz w:val="21"/>
                      <w:szCs w:val="21"/>
                      <w:lang w:val="en-US" w:eastAsia="zh-CN"/>
                    </w:rPr>
                  </w:pPr>
                  <w:r>
                    <w:rPr>
                      <w:rFonts w:hint="default"/>
                      <w:color w:val="auto"/>
                      <w:sz w:val="21"/>
                      <w:szCs w:val="21"/>
                      <w:lang w:val="en-US" w:eastAsia="zh-CN"/>
                    </w:rPr>
                    <w:t>边角料、不合格产品</w:t>
                  </w:r>
                </w:p>
              </w:tc>
              <w:tc>
                <w:tcPr>
                  <w:tcW w:w="1490" w:type="dxa"/>
                  <w:tcBorders>
                    <w:tl2br w:val="nil"/>
                    <w:tr2bl w:val="nil"/>
                  </w:tcBorders>
                  <w:noWrap w:val="0"/>
                  <w:vAlign w:val="center"/>
                </w:tcPr>
                <w:p>
                  <w:pPr>
                    <w:bidi w:val="0"/>
                    <w:jc w:val="center"/>
                    <w:rPr>
                      <w:rFonts w:hint="default"/>
                      <w:color w:val="auto"/>
                      <w:sz w:val="21"/>
                      <w:szCs w:val="21"/>
                      <w:lang w:val="en-US" w:eastAsia="zh-CN"/>
                    </w:rPr>
                  </w:pPr>
                  <w:r>
                    <w:rPr>
                      <w:rFonts w:hint="default"/>
                      <w:color w:val="auto"/>
                      <w:sz w:val="21"/>
                      <w:szCs w:val="21"/>
                      <w:lang w:val="en-US" w:eastAsia="zh-CN"/>
                    </w:rPr>
                    <w:t>边角料、不合格产品</w:t>
                  </w:r>
                </w:p>
              </w:tc>
              <w:tc>
                <w:tcPr>
                  <w:tcW w:w="3709" w:type="dxa"/>
                  <w:tcBorders>
                    <w:tl2br w:val="nil"/>
                    <w:tr2bl w:val="nil"/>
                  </w:tcBorders>
                  <w:noWrap w:val="0"/>
                  <w:vAlign w:val="center"/>
                </w:tcPr>
                <w:p>
                  <w:pPr>
                    <w:bidi w:val="0"/>
                    <w:jc w:val="center"/>
                    <w:rPr>
                      <w:rFonts w:hint="default"/>
                      <w:color w:val="auto"/>
                      <w:sz w:val="21"/>
                      <w:szCs w:val="21"/>
                      <w:lang w:val="en-US" w:eastAsia="zh-CN"/>
                    </w:rPr>
                  </w:pPr>
                  <w:r>
                    <w:rPr>
                      <w:rFonts w:hint="default"/>
                      <w:color w:val="auto"/>
                      <w:sz w:val="21"/>
                      <w:szCs w:val="21"/>
                      <w:lang w:val="en-US" w:eastAsia="zh-CN"/>
                    </w:rPr>
                    <w:t>收集后外售至建材单位综合利用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735" w:type="dxa"/>
                  <w:vMerge w:val="continue"/>
                  <w:tcBorders>
                    <w:tl2br w:val="nil"/>
                    <w:tr2bl w:val="nil"/>
                  </w:tcBorders>
                  <w:noWrap w:val="0"/>
                  <w:vAlign w:val="center"/>
                </w:tcPr>
                <w:p>
                  <w:pPr>
                    <w:bidi w:val="0"/>
                    <w:jc w:val="center"/>
                    <w:rPr>
                      <w:rFonts w:hint="default"/>
                      <w:color w:val="auto"/>
                      <w:sz w:val="21"/>
                      <w:szCs w:val="21"/>
                      <w:lang w:val="en-US" w:eastAsia="zh-CN"/>
                    </w:rPr>
                  </w:pPr>
                </w:p>
              </w:tc>
              <w:tc>
                <w:tcPr>
                  <w:tcW w:w="2169" w:type="dxa"/>
                  <w:tcBorders>
                    <w:tl2br w:val="nil"/>
                    <w:tr2bl w:val="nil"/>
                  </w:tcBorders>
                  <w:noWrap w:val="0"/>
                  <w:vAlign w:val="center"/>
                </w:tcPr>
                <w:p>
                  <w:pPr>
                    <w:bidi w:val="0"/>
                    <w:jc w:val="center"/>
                    <w:rPr>
                      <w:rFonts w:hint="default"/>
                      <w:color w:val="auto"/>
                      <w:sz w:val="21"/>
                      <w:szCs w:val="21"/>
                      <w:lang w:val="en-US" w:eastAsia="zh-CN"/>
                    </w:rPr>
                  </w:pPr>
                  <w:r>
                    <w:rPr>
                      <w:rFonts w:hint="default"/>
                      <w:color w:val="auto"/>
                      <w:sz w:val="21"/>
                      <w:szCs w:val="21"/>
                      <w:lang w:val="en-US" w:eastAsia="zh-CN"/>
                    </w:rPr>
                    <w:t>危险废物</w:t>
                  </w:r>
                </w:p>
              </w:tc>
              <w:tc>
                <w:tcPr>
                  <w:tcW w:w="1490" w:type="dxa"/>
                  <w:tcBorders>
                    <w:tl2br w:val="nil"/>
                    <w:tr2bl w:val="nil"/>
                  </w:tcBorders>
                  <w:noWrap w:val="0"/>
                  <w:vAlign w:val="center"/>
                </w:tcPr>
                <w:p>
                  <w:pPr>
                    <w:bidi w:val="0"/>
                    <w:jc w:val="center"/>
                    <w:rPr>
                      <w:rFonts w:hint="default"/>
                      <w:color w:val="auto"/>
                      <w:sz w:val="21"/>
                      <w:szCs w:val="21"/>
                      <w:lang w:val="en-US" w:eastAsia="zh-CN"/>
                    </w:rPr>
                  </w:pPr>
                  <w:r>
                    <w:rPr>
                      <w:rFonts w:hint="default"/>
                      <w:color w:val="auto"/>
                      <w:sz w:val="21"/>
                      <w:szCs w:val="21"/>
                      <w:lang w:val="en-US" w:eastAsia="zh-CN"/>
                    </w:rPr>
                    <w:t>废润滑油、废机油</w:t>
                  </w:r>
                </w:p>
              </w:tc>
              <w:tc>
                <w:tcPr>
                  <w:tcW w:w="3709" w:type="dxa"/>
                  <w:tcBorders>
                    <w:tl2br w:val="nil"/>
                    <w:tr2bl w:val="nil"/>
                  </w:tcBorders>
                  <w:noWrap w:val="0"/>
                  <w:vAlign w:val="center"/>
                </w:tcPr>
                <w:p>
                  <w:pPr>
                    <w:bidi w:val="0"/>
                    <w:jc w:val="center"/>
                    <w:rPr>
                      <w:rFonts w:hint="default"/>
                      <w:color w:val="auto"/>
                      <w:sz w:val="21"/>
                      <w:szCs w:val="21"/>
                      <w:lang w:val="en-US" w:eastAsia="zh-CN"/>
                    </w:rPr>
                  </w:pPr>
                  <w:r>
                    <w:rPr>
                      <w:rFonts w:hint="default"/>
                      <w:color w:val="auto"/>
                      <w:sz w:val="21"/>
                      <w:szCs w:val="21"/>
                      <w:lang w:val="en-US" w:eastAsia="zh-CN"/>
                    </w:rPr>
                    <w:t>暂存于危废暂存间，交</w:t>
                  </w:r>
                  <w:r>
                    <w:rPr>
                      <w:rFonts w:hint="eastAsia"/>
                      <w:color w:val="auto"/>
                      <w:sz w:val="21"/>
                      <w:szCs w:val="21"/>
                      <w:lang w:val="en-US" w:eastAsia="zh-CN"/>
                    </w:rPr>
                    <w:t>由</w:t>
                  </w:r>
                  <w:r>
                    <w:rPr>
                      <w:rFonts w:hint="default"/>
                      <w:color w:val="auto"/>
                      <w:sz w:val="21"/>
                      <w:szCs w:val="21"/>
                      <w:lang w:val="en-US" w:eastAsia="zh-CN"/>
                    </w:rPr>
                    <w:t>有资质单位处置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735" w:type="dxa"/>
                  <w:vMerge w:val="continue"/>
                  <w:tcBorders>
                    <w:tl2br w:val="nil"/>
                    <w:tr2bl w:val="nil"/>
                  </w:tcBorders>
                  <w:noWrap w:val="0"/>
                  <w:vAlign w:val="center"/>
                </w:tcPr>
                <w:p>
                  <w:pPr>
                    <w:bidi w:val="0"/>
                    <w:jc w:val="center"/>
                    <w:rPr>
                      <w:rFonts w:hint="default"/>
                      <w:color w:val="auto"/>
                      <w:sz w:val="21"/>
                      <w:szCs w:val="21"/>
                      <w:lang w:val="en-US" w:eastAsia="zh-CN"/>
                    </w:rPr>
                  </w:pPr>
                </w:p>
              </w:tc>
              <w:tc>
                <w:tcPr>
                  <w:tcW w:w="2169" w:type="dxa"/>
                  <w:tcBorders>
                    <w:tl2br w:val="nil"/>
                    <w:tr2bl w:val="nil"/>
                  </w:tcBorders>
                  <w:noWrap w:val="0"/>
                  <w:vAlign w:val="center"/>
                </w:tcPr>
                <w:p>
                  <w:pPr>
                    <w:bidi w:val="0"/>
                    <w:jc w:val="center"/>
                    <w:rPr>
                      <w:rFonts w:hint="default"/>
                      <w:color w:val="auto"/>
                      <w:sz w:val="21"/>
                      <w:szCs w:val="21"/>
                      <w:lang w:val="en-US" w:eastAsia="zh-CN"/>
                    </w:rPr>
                  </w:pPr>
                  <w:r>
                    <w:rPr>
                      <w:rFonts w:hint="default"/>
                      <w:color w:val="auto"/>
                      <w:sz w:val="21"/>
                      <w:szCs w:val="21"/>
                      <w:lang w:val="en-US" w:eastAsia="zh-CN"/>
                    </w:rPr>
                    <w:t>生活垃圾</w:t>
                  </w:r>
                </w:p>
              </w:tc>
              <w:tc>
                <w:tcPr>
                  <w:tcW w:w="1490" w:type="dxa"/>
                  <w:tcBorders>
                    <w:tl2br w:val="nil"/>
                    <w:tr2bl w:val="nil"/>
                  </w:tcBorders>
                  <w:noWrap w:val="0"/>
                  <w:vAlign w:val="center"/>
                </w:tcPr>
                <w:p>
                  <w:pPr>
                    <w:bidi w:val="0"/>
                    <w:jc w:val="center"/>
                    <w:rPr>
                      <w:rFonts w:hint="default"/>
                      <w:color w:val="auto"/>
                      <w:sz w:val="21"/>
                      <w:szCs w:val="21"/>
                      <w:lang w:val="en-US" w:eastAsia="zh-CN"/>
                    </w:rPr>
                  </w:pPr>
                  <w:r>
                    <w:rPr>
                      <w:rFonts w:hint="default"/>
                      <w:color w:val="auto"/>
                      <w:sz w:val="21"/>
                      <w:szCs w:val="21"/>
                      <w:lang w:val="en-US" w:eastAsia="zh-CN"/>
                    </w:rPr>
                    <w:t>生活垃圾</w:t>
                  </w:r>
                </w:p>
              </w:tc>
              <w:tc>
                <w:tcPr>
                  <w:tcW w:w="3709" w:type="dxa"/>
                  <w:tcBorders>
                    <w:tl2br w:val="nil"/>
                    <w:tr2bl w:val="nil"/>
                  </w:tcBorders>
                  <w:noWrap w:val="0"/>
                  <w:vAlign w:val="center"/>
                </w:tcPr>
                <w:p>
                  <w:pPr>
                    <w:bidi w:val="0"/>
                    <w:jc w:val="center"/>
                    <w:rPr>
                      <w:rFonts w:hint="default"/>
                      <w:color w:val="auto"/>
                      <w:sz w:val="21"/>
                      <w:szCs w:val="21"/>
                      <w:lang w:val="en-US" w:eastAsia="zh-CN"/>
                    </w:rPr>
                  </w:pPr>
                  <w:r>
                    <w:rPr>
                      <w:rFonts w:hint="default"/>
                      <w:color w:val="auto"/>
                      <w:sz w:val="21"/>
                      <w:szCs w:val="21"/>
                      <w:lang w:val="en-US" w:eastAsia="zh-CN"/>
                    </w:rPr>
                    <w:t>环卫部门统一</w:t>
                  </w:r>
                  <w:r>
                    <w:rPr>
                      <w:rFonts w:hint="eastAsia"/>
                      <w:color w:val="auto"/>
                      <w:sz w:val="21"/>
                      <w:szCs w:val="21"/>
                      <w:lang w:val="en-US" w:eastAsia="zh-CN"/>
                    </w:rPr>
                    <w:t>清运</w:t>
                  </w:r>
                  <w:r>
                    <w:rPr>
                      <w:rFonts w:hint="default"/>
                      <w:color w:val="auto"/>
                      <w:sz w:val="21"/>
                      <w:szCs w:val="21"/>
                      <w:lang w:val="en-US" w:eastAsia="zh-CN"/>
                    </w:rPr>
                    <w:t>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8" w:hRule="atLeast"/>
                <w:jc w:val="center"/>
              </w:trPr>
              <w:tc>
                <w:tcPr>
                  <w:tcW w:w="735" w:type="dxa"/>
                  <w:tcBorders>
                    <w:tl2br w:val="nil"/>
                    <w:tr2bl w:val="nil"/>
                  </w:tcBorders>
                  <w:noWrap w:val="0"/>
                  <w:vAlign w:val="center"/>
                </w:tcPr>
                <w:p>
                  <w:pPr>
                    <w:bidi w:val="0"/>
                    <w:jc w:val="center"/>
                    <w:rPr>
                      <w:rFonts w:hint="default"/>
                      <w:color w:val="auto"/>
                      <w:sz w:val="21"/>
                      <w:szCs w:val="21"/>
                      <w:lang w:val="en-US" w:eastAsia="zh-CN"/>
                    </w:rPr>
                  </w:pPr>
                  <w:r>
                    <w:rPr>
                      <w:rFonts w:hint="default"/>
                      <w:color w:val="auto"/>
                      <w:sz w:val="21"/>
                      <w:szCs w:val="21"/>
                      <w:lang w:val="en-US" w:eastAsia="zh-CN"/>
                    </w:rPr>
                    <w:t>噪声</w:t>
                  </w:r>
                </w:p>
              </w:tc>
              <w:tc>
                <w:tcPr>
                  <w:tcW w:w="2169" w:type="dxa"/>
                  <w:tcBorders>
                    <w:tl2br w:val="nil"/>
                    <w:tr2bl w:val="nil"/>
                  </w:tcBorders>
                  <w:noWrap w:val="0"/>
                  <w:vAlign w:val="center"/>
                </w:tcPr>
                <w:p>
                  <w:pPr>
                    <w:bidi w:val="0"/>
                    <w:jc w:val="center"/>
                    <w:rPr>
                      <w:rFonts w:hint="default"/>
                      <w:color w:val="auto"/>
                      <w:sz w:val="21"/>
                      <w:szCs w:val="21"/>
                      <w:lang w:val="en-US" w:eastAsia="zh-CN"/>
                    </w:rPr>
                  </w:pPr>
                  <w:r>
                    <w:rPr>
                      <w:rFonts w:hint="default"/>
                      <w:color w:val="auto"/>
                      <w:sz w:val="21"/>
                      <w:szCs w:val="21"/>
                      <w:lang w:val="en-US" w:eastAsia="zh-CN"/>
                    </w:rPr>
                    <w:t>生产设备</w:t>
                  </w:r>
                </w:p>
              </w:tc>
              <w:tc>
                <w:tcPr>
                  <w:tcW w:w="1490" w:type="dxa"/>
                  <w:tcBorders>
                    <w:tl2br w:val="nil"/>
                    <w:tr2bl w:val="nil"/>
                  </w:tcBorders>
                  <w:noWrap w:val="0"/>
                  <w:vAlign w:val="center"/>
                </w:tcPr>
                <w:p>
                  <w:pPr>
                    <w:bidi w:val="0"/>
                    <w:jc w:val="center"/>
                    <w:rPr>
                      <w:rFonts w:hint="default"/>
                      <w:color w:val="auto"/>
                      <w:sz w:val="21"/>
                      <w:szCs w:val="21"/>
                      <w:lang w:val="en-US" w:eastAsia="zh-CN"/>
                    </w:rPr>
                  </w:pPr>
                  <w:r>
                    <w:rPr>
                      <w:rFonts w:hint="default"/>
                      <w:color w:val="auto"/>
                      <w:sz w:val="21"/>
                      <w:szCs w:val="21"/>
                      <w:lang w:val="en-US" w:eastAsia="zh-CN"/>
                    </w:rPr>
                    <w:t>噪声</w:t>
                  </w:r>
                </w:p>
              </w:tc>
              <w:tc>
                <w:tcPr>
                  <w:tcW w:w="3709" w:type="dxa"/>
                  <w:tcBorders>
                    <w:tl2br w:val="nil"/>
                    <w:tr2bl w:val="nil"/>
                  </w:tcBorders>
                  <w:noWrap w:val="0"/>
                  <w:vAlign w:val="center"/>
                </w:tcPr>
                <w:p>
                  <w:pPr>
                    <w:bidi w:val="0"/>
                    <w:jc w:val="center"/>
                    <w:rPr>
                      <w:rFonts w:hint="default"/>
                      <w:color w:val="auto"/>
                      <w:sz w:val="21"/>
                      <w:szCs w:val="21"/>
                      <w:lang w:val="en-US" w:eastAsia="zh-CN"/>
                    </w:rPr>
                  </w:pPr>
                  <w:r>
                    <w:rPr>
                      <w:rFonts w:hint="default"/>
                      <w:color w:val="auto"/>
                      <w:sz w:val="21"/>
                      <w:szCs w:val="21"/>
                      <w:lang w:val="en-US" w:eastAsia="zh-CN"/>
                    </w:rPr>
                    <w:t>隔声降噪、基础减振等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04" w:hRule="atLeast"/>
                <w:jc w:val="center"/>
              </w:trPr>
              <w:tc>
                <w:tcPr>
                  <w:tcW w:w="735" w:type="dxa"/>
                  <w:vMerge w:val="restart"/>
                  <w:tcBorders>
                    <w:tl2br w:val="nil"/>
                    <w:tr2bl w:val="nil"/>
                  </w:tcBorders>
                  <w:noWrap w:val="0"/>
                  <w:vAlign w:val="center"/>
                </w:tcPr>
                <w:p>
                  <w:pPr>
                    <w:bidi w:val="0"/>
                    <w:jc w:val="center"/>
                    <w:rPr>
                      <w:rFonts w:hint="default"/>
                      <w:color w:val="auto"/>
                      <w:sz w:val="21"/>
                      <w:szCs w:val="21"/>
                      <w:lang w:val="en-US" w:eastAsia="zh-CN"/>
                    </w:rPr>
                  </w:pPr>
                  <w:r>
                    <w:rPr>
                      <w:rFonts w:hint="default"/>
                      <w:color w:val="auto"/>
                      <w:sz w:val="21"/>
                      <w:szCs w:val="21"/>
                      <w:lang w:val="en-US" w:eastAsia="zh-CN"/>
                    </w:rPr>
                    <w:t>废水</w:t>
                  </w:r>
                </w:p>
              </w:tc>
              <w:tc>
                <w:tcPr>
                  <w:tcW w:w="2169" w:type="dxa"/>
                  <w:tcBorders>
                    <w:tl2br w:val="nil"/>
                    <w:tr2bl w:val="nil"/>
                  </w:tcBorders>
                  <w:noWrap w:val="0"/>
                  <w:vAlign w:val="center"/>
                </w:tcPr>
                <w:p>
                  <w:pPr>
                    <w:bidi w:val="0"/>
                    <w:jc w:val="center"/>
                    <w:rPr>
                      <w:rFonts w:hint="default"/>
                      <w:color w:val="auto"/>
                      <w:sz w:val="21"/>
                      <w:szCs w:val="21"/>
                      <w:lang w:val="en-US" w:eastAsia="zh-CN"/>
                    </w:rPr>
                  </w:pPr>
                  <w:r>
                    <w:rPr>
                      <w:rFonts w:hint="default"/>
                      <w:color w:val="auto"/>
                      <w:sz w:val="21"/>
                      <w:szCs w:val="21"/>
                      <w:lang w:val="en-US" w:eastAsia="zh-CN"/>
                    </w:rPr>
                    <w:t>食堂、办公</w:t>
                  </w:r>
                </w:p>
              </w:tc>
              <w:tc>
                <w:tcPr>
                  <w:tcW w:w="1490" w:type="dxa"/>
                  <w:tcBorders>
                    <w:tl2br w:val="nil"/>
                    <w:tr2bl w:val="nil"/>
                  </w:tcBorders>
                  <w:noWrap w:val="0"/>
                  <w:vAlign w:val="center"/>
                </w:tcPr>
                <w:p>
                  <w:pPr>
                    <w:bidi w:val="0"/>
                    <w:jc w:val="center"/>
                    <w:rPr>
                      <w:rFonts w:hint="default"/>
                      <w:color w:val="auto"/>
                      <w:sz w:val="21"/>
                      <w:szCs w:val="21"/>
                      <w:lang w:val="en-US" w:eastAsia="zh-CN"/>
                    </w:rPr>
                  </w:pPr>
                  <w:r>
                    <w:rPr>
                      <w:rFonts w:hint="default"/>
                      <w:color w:val="auto"/>
                      <w:sz w:val="21"/>
                      <w:szCs w:val="21"/>
                    </w:rPr>
                    <w:t>COD、氨氮等</w:t>
                  </w:r>
                </w:p>
              </w:tc>
              <w:tc>
                <w:tcPr>
                  <w:tcW w:w="3709" w:type="dxa"/>
                  <w:tcBorders>
                    <w:tl2br w:val="nil"/>
                    <w:tr2bl w:val="nil"/>
                  </w:tcBorders>
                  <w:noWrap w:val="0"/>
                  <w:vAlign w:val="center"/>
                </w:tcPr>
                <w:p>
                  <w:pPr>
                    <w:bidi w:val="0"/>
                    <w:jc w:val="center"/>
                    <w:rPr>
                      <w:rFonts w:hint="default"/>
                      <w:color w:val="auto"/>
                      <w:sz w:val="21"/>
                      <w:szCs w:val="21"/>
                      <w:lang w:val="en-US" w:eastAsia="zh-CN"/>
                    </w:rPr>
                  </w:pPr>
                  <w:r>
                    <w:rPr>
                      <w:rFonts w:hint="default"/>
                      <w:color w:val="auto"/>
                      <w:sz w:val="21"/>
                      <w:szCs w:val="21"/>
                      <w:lang w:val="en-US" w:eastAsia="zh-CN"/>
                    </w:rPr>
                    <w:t>不新增员工，不新增生活污水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44" w:hRule="atLeast"/>
                <w:jc w:val="center"/>
              </w:trPr>
              <w:tc>
                <w:tcPr>
                  <w:tcW w:w="735" w:type="dxa"/>
                  <w:vMerge w:val="continue"/>
                  <w:tcBorders>
                    <w:tl2br w:val="nil"/>
                    <w:tr2bl w:val="nil"/>
                  </w:tcBorders>
                  <w:noWrap w:val="0"/>
                  <w:vAlign w:val="center"/>
                </w:tcPr>
                <w:p>
                  <w:pPr>
                    <w:bidi w:val="0"/>
                    <w:jc w:val="center"/>
                    <w:rPr>
                      <w:rFonts w:hint="default"/>
                      <w:color w:val="auto"/>
                      <w:sz w:val="21"/>
                      <w:szCs w:val="21"/>
                      <w:lang w:val="en-US" w:eastAsia="zh-CN"/>
                    </w:rPr>
                  </w:pPr>
                </w:p>
              </w:tc>
              <w:tc>
                <w:tcPr>
                  <w:tcW w:w="2169" w:type="dxa"/>
                  <w:tcBorders>
                    <w:tl2br w:val="nil"/>
                    <w:tr2bl w:val="nil"/>
                  </w:tcBorders>
                  <w:noWrap w:val="0"/>
                  <w:vAlign w:val="center"/>
                </w:tcPr>
                <w:p>
                  <w:pPr>
                    <w:bidi w:val="0"/>
                    <w:jc w:val="center"/>
                    <w:rPr>
                      <w:rFonts w:hint="default"/>
                      <w:color w:val="auto"/>
                      <w:sz w:val="21"/>
                      <w:szCs w:val="21"/>
                      <w:lang w:val="en-US" w:eastAsia="zh-CN"/>
                    </w:rPr>
                  </w:pPr>
                  <w:r>
                    <w:rPr>
                      <w:rFonts w:hint="default"/>
                      <w:color w:val="auto"/>
                      <w:sz w:val="21"/>
                      <w:szCs w:val="21"/>
                    </w:rPr>
                    <w:t>清洗废水、软水系统废水、锅炉排污水</w:t>
                  </w:r>
                </w:p>
              </w:tc>
              <w:tc>
                <w:tcPr>
                  <w:tcW w:w="1490" w:type="dxa"/>
                  <w:tcBorders>
                    <w:tl2br w:val="nil"/>
                    <w:tr2bl w:val="nil"/>
                  </w:tcBorders>
                  <w:noWrap w:val="0"/>
                  <w:vAlign w:val="center"/>
                </w:tcPr>
                <w:p>
                  <w:pPr>
                    <w:bidi w:val="0"/>
                    <w:jc w:val="center"/>
                    <w:rPr>
                      <w:rFonts w:hint="default"/>
                      <w:color w:val="auto"/>
                      <w:sz w:val="21"/>
                      <w:szCs w:val="21"/>
                      <w:lang w:val="en-US" w:eastAsia="zh-CN"/>
                    </w:rPr>
                  </w:pPr>
                  <w:r>
                    <w:rPr>
                      <w:rFonts w:hint="default"/>
                      <w:color w:val="auto"/>
                      <w:sz w:val="21"/>
                      <w:szCs w:val="21"/>
                      <w:lang w:val="en-US" w:eastAsia="zh-CN"/>
                    </w:rPr>
                    <w:t>悬浮物</w:t>
                  </w:r>
                </w:p>
              </w:tc>
              <w:tc>
                <w:tcPr>
                  <w:tcW w:w="3709" w:type="dxa"/>
                  <w:tcBorders>
                    <w:tl2br w:val="nil"/>
                    <w:tr2bl w:val="nil"/>
                  </w:tcBorders>
                  <w:noWrap w:val="0"/>
                  <w:vAlign w:val="center"/>
                </w:tcPr>
                <w:p>
                  <w:pPr>
                    <w:bidi w:val="0"/>
                    <w:jc w:val="center"/>
                    <w:rPr>
                      <w:rFonts w:hint="default"/>
                      <w:color w:val="auto"/>
                      <w:sz w:val="21"/>
                      <w:szCs w:val="21"/>
                      <w:lang w:val="en-US" w:eastAsia="zh-CN"/>
                    </w:rPr>
                  </w:pPr>
                  <w:r>
                    <w:rPr>
                      <w:rFonts w:hint="default"/>
                      <w:color w:val="auto"/>
                      <w:sz w:val="21"/>
                      <w:szCs w:val="21"/>
                    </w:rPr>
                    <w:t>经循环水池沉淀后用于搅拌罐清洗，车辆清洗</w:t>
                  </w:r>
                  <w:r>
                    <w:rPr>
                      <w:rFonts w:hint="default"/>
                      <w:color w:val="auto"/>
                      <w:sz w:val="21"/>
                      <w:szCs w:val="21"/>
                      <w:lang w:val="en-US" w:eastAsia="zh-CN"/>
                    </w:rPr>
                    <w:t>等</w:t>
                  </w:r>
                  <w:r>
                    <w:rPr>
                      <w:rFonts w:hint="default"/>
                      <w:color w:val="auto"/>
                      <w:sz w:val="21"/>
                      <w:szCs w:val="21"/>
                      <w:lang w:eastAsia="zh-CN"/>
                    </w:rPr>
                    <w:t>，</w:t>
                  </w:r>
                  <w:r>
                    <w:rPr>
                      <w:rFonts w:hint="default"/>
                      <w:color w:val="auto"/>
                      <w:sz w:val="21"/>
                      <w:szCs w:val="21"/>
                      <w:lang w:val="en-US" w:eastAsia="zh-CN"/>
                    </w:rPr>
                    <w:t>全部回用，不外排</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p>
        </w:tc>
      </w:tr>
    </w:tbl>
    <w:p>
      <w:pPr>
        <w:pStyle w:val="3"/>
        <w:spacing w:before="0" w:after="0" w:line="240" w:lineRule="auto"/>
        <w:rPr>
          <w:rFonts w:hint="default" w:ascii="Times New Roman" w:hAnsi="Times New Roman" w:eastAsia="宋体" w:cs="Times New Roman"/>
          <w:sz w:val="24"/>
          <w:highlight w:val="none"/>
        </w:rPr>
      </w:pPr>
      <w:bookmarkStart w:id="2" w:name="_Toc3241"/>
      <w:r>
        <w:rPr>
          <w:rFonts w:hint="default" w:ascii="Times New Roman" w:hAnsi="Times New Roman" w:eastAsia="宋体" w:cs="Times New Roman"/>
          <w:sz w:val="24"/>
          <w:highlight w:val="none"/>
        </w:rPr>
        <w:t>表三主要污染源、污染物处理及排放流程</w:t>
      </w:r>
      <w:bookmarkEnd w:id="2"/>
    </w:p>
    <w:tbl>
      <w:tblPr>
        <w:tblStyle w:val="23"/>
        <w:tblW w:w="8522"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PrEx>
        <w:trPr>
          <w:trHeight w:val="13429" w:hRule="atLeast"/>
        </w:trPr>
        <w:tc>
          <w:tcPr>
            <w:tcW w:w="8522" w:type="dxa"/>
          </w:tcPr>
          <w:p>
            <w:pPr>
              <w:numPr>
                <w:ilvl w:val="0"/>
                <w:numId w:val="5"/>
              </w:numPr>
              <w:spacing w:line="360" w:lineRule="auto"/>
              <w:jc w:val="left"/>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主要污染源及治理措施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left"/>
              <w:textAlignment w:val="auto"/>
              <w:outlineLvl w:val="9"/>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lang w:val="en-US" w:eastAsia="zh-CN"/>
              </w:rPr>
              <w:t>1.1</w:t>
            </w:r>
            <w:r>
              <w:rPr>
                <w:rFonts w:hint="default" w:ascii="Times New Roman" w:hAnsi="Times New Roman" w:eastAsia="宋体" w:cs="Times New Roman"/>
                <w:b/>
                <w:bCs/>
                <w:sz w:val="24"/>
                <w:highlight w:val="none"/>
              </w:rPr>
              <w:t>废水排放与治理措施</w:t>
            </w:r>
          </w:p>
          <w:p>
            <w:pPr>
              <w:spacing w:line="360" w:lineRule="auto"/>
              <w:ind w:firstLine="480" w:firstLineChars="200"/>
              <w:rPr>
                <w:color w:val="auto"/>
                <w:sz w:val="24"/>
              </w:rPr>
            </w:pPr>
            <w:r>
              <w:rPr>
                <w:color w:val="auto"/>
                <w:sz w:val="24"/>
              </w:rPr>
              <w:t>本项目生产废水全部回用于生产，不外排，</w:t>
            </w:r>
            <w:r>
              <w:rPr>
                <w:bCs/>
                <w:color w:val="auto"/>
                <w:kern w:val="0"/>
                <w:sz w:val="24"/>
              </w:rPr>
              <w:t>生活污水</w:t>
            </w:r>
            <w:r>
              <w:rPr>
                <w:color w:val="auto"/>
                <w:sz w:val="24"/>
              </w:rPr>
              <w:t>经油水分离器、化粪池预处理达到《污水综合排放标准》（GB8978-1996）</w:t>
            </w:r>
            <w:r>
              <w:rPr>
                <w:color w:val="auto"/>
                <w:kern w:val="0"/>
                <w:sz w:val="24"/>
              </w:rPr>
              <w:t>三级排放标准</w:t>
            </w:r>
            <w:r>
              <w:rPr>
                <w:color w:val="auto"/>
                <w:sz w:val="24"/>
              </w:rPr>
              <w:t>后排入开发区下水管网，最终排入</w:t>
            </w:r>
            <w:r>
              <w:rPr>
                <w:rFonts w:hint="eastAsia"/>
                <w:color w:val="auto"/>
                <w:sz w:val="24"/>
                <w:lang w:val="en-US" w:eastAsia="zh-CN"/>
              </w:rPr>
              <w:t>巴州洁源排水有限公司（库尔勒经济技术开发区工业废水处理回用厂）处理</w:t>
            </w:r>
            <w:r>
              <w:rPr>
                <w:color w:val="auto"/>
                <w:sz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left"/>
              <w:textAlignment w:val="auto"/>
              <w:outlineLvl w:val="9"/>
              <w:rPr>
                <w:rFonts w:hint="default" w:ascii="Times New Roman" w:hAnsi="Times New Roman" w:eastAsia="宋体" w:cs="Times New Roman"/>
                <w:b/>
                <w:bCs/>
                <w:sz w:val="24"/>
                <w:highlight w:val="none"/>
                <w:lang w:val="en-US" w:eastAsia="zh-CN"/>
              </w:rPr>
            </w:pPr>
            <w:r>
              <w:rPr>
                <w:rFonts w:hint="default" w:ascii="Times New Roman" w:hAnsi="Times New Roman" w:eastAsia="宋体" w:cs="Times New Roman"/>
                <w:b/>
                <w:bCs/>
                <w:sz w:val="24"/>
                <w:highlight w:val="none"/>
                <w:lang w:val="en-US" w:eastAsia="zh-CN"/>
              </w:rPr>
              <w:t>1.2废气排放与治理措施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lang w:val="en-US" w:eastAsia="zh-CN"/>
              </w:rPr>
              <w:t>本项目运营期产生的废气</w:t>
            </w:r>
            <w:r>
              <w:rPr>
                <w:rFonts w:hint="default" w:ascii="Times New Roman" w:hAnsi="Times New Roman" w:cs="Times New Roman"/>
                <w:color w:val="auto"/>
                <w:sz w:val="24"/>
                <w:lang w:val="zh-TW" w:eastAsia="zh-TW"/>
              </w:rPr>
              <w:t>包括</w:t>
            </w:r>
            <w:r>
              <w:rPr>
                <w:rFonts w:hint="default" w:ascii="Times New Roman" w:hAnsi="Times New Roman" w:cs="Times New Roman"/>
                <w:color w:val="auto"/>
                <w:sz w:val="24"/>
              </w:rPr>
              <w:t>有组织和无组织</w:t>
            </w:r>
            <w:r>
              <w:rPr>
                <w:rFonts w:hint="default" w:ascii="Times New Roman" w:hAnsi="Times New Roman" w:cs="Times New Roman"/>
                <w:color w:val="auto"/>
                <w:sz w:val="24"/>
                <w:lang w:val="zh-TW" w:eastAsia="zh-TW"/>
              </w:rPr>
              <w:t>粉尘</w:t>
            </w:r>
            <w:r>
              <w:rPr>
                <w:rFonts w:hint="eastAsia" w:cs="Times New Roman"/>
                <w:color w:val="auto"/>
                <w:sz w:val="24"/>
                <w:lang w:val="en-US" w:eastAsia="zh-CN"/>
              </w:rPr>
              <w:t>和</w:t>
            </w:r>
            <w:r>
              <w:rPr>
                <w:rFonts w:hint="default" w:ascii="Times New Roman" w:hAnsi="Times New Roman" w:cs="Times New Roman"/>
                <w:color w:val="auto"/>
                <w:sz w:val="24"/>
                <w:lang w:val="zh-TW"/>
              </w:rPr>
              <w:t>锅炉废气</w:t>
            </w:r>
            <w:r>
              <w:rPr>
                <w:rFonts w:hint="default" w:ascii="Times New Roman" w:hAnsi="Times New Roman" w:cs="Times New Roman"/>
                <w:color w:val="auto"/>
                <w:sz w:val="24"/>
                <w:lang w:val="zh-TW" w:eastAsia="zh-TW"/>
              </w:rPr>
              <w:t>。其中</w:t>
            </w:r>
            <w:r>
              <w:rPr>
                <w:rFonts w:hint="default" w:ascii="Times New Roman" w:hAnsi="Times New Roman" w:cs="Times New Roman"/>
                <w:color w:val="auto"/>
                <w:sz w:val="24"/>
              </w:rPr>
              <w:t>有组织</w:t>
            </w:r>
            <w:r>
              <w:rPr>
                <w:rFonts w:hint="default" w:ascii="Times New Roman" w:hAnsi="Times New Roman" w:cs="Times New Roman"/>
                <w:color w:val="auto"/>
                <w:sz w:val="24"/>
                <w:lang w:val="zh-TW" w:eastAsia="zh-TW"/>
              </w:rPr>
              <w:t>粉尘来源</w:t>
            </w:r>
            <w:r>
              <w:rPr>
                <w:rFonts w:hint="default" w:ascii="Times New Roman" w:hAnsi="Times New Roman" w:cs="Times New Roman"/>
                <w:color w:val="auto"/>
                <w:sz w:val="24"/>
                <w:lang w:val="zh-TW"/>
              </w:rPr>
              <w:t>主要</w:t>
            </w:r>
            <w:r>
              <w:rPr>
                <w:rFonts w:hint="default" w:ascii="Times New Roman" w:hAnsi="Times New Roman" w:cs="Times New Roman"/>
                <w:color w:val="auto"/>
                <w:sz w:val="24"/>
              </w:rPr>
              <w:t>为水泥筒仓</w:t>
            </w:r>
            <w:r>
              <w:rPr>
                <w:rFonts w:hint="eastAsia" w:cs="Times New Roman"/>
                <w:color w:val="auto"/>
                <w:sz w:val="24"/>
                <w:lang w:val="en-US" w:eastAsia="zh-CN"/>
              </w:rPr>
              <w:t>呼吸孔废气和锅炉废气。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Cs/>
                <w:color w:val="auto"/>
                <w:sz w:val="24"/>
                <w:szCs w:val="32"/>
                <w:lang w:val="en-US" w:eastAsia="zh-CN"/>
              </w:rPr>
            </w:pPr>
            <w:r>
              <w:rPr>
                <w:rFonts w:hint="eastAsia" w:ascii="Times New Roman" w:hAnsi="Times New Roman" w:cs="Times New Roman"/>
                <w:bCs/>
                <w:color w:val="auto"/>
                <w:sz w:val="24"/>
                <w:szCs w:val="32"/>
                <w:lang w:val="en-US" w:eastAsia="zh-CN"/>
              </w:rPr>
              <w:t>①有组织粉尘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Cs/>
                <w:color w:val="auto"/>
                <w:sz w:val="24"/>
                <w:szCs w:val="32"/>
                <w:lang w:val="en-US" w:eastAsia="zh-CN"/>
              </w:rPr>
            </w:pPr>
            <w:r>
              <w:rPr>
                <w:rFonts w:hint="eastAsia" w:ascii="Times New Roman" w:hAnsi="Times New Roman" w:cs="Times New Roman"/>
                <w:bCs/>
                <w:color w:val="auto"/>
                <w:sz w:val="24"/>
                <w:szCs w:val="32"/>
                <w:lang w:val="en-US" w:eastAsia="zh-CN"/>
              </w:rPr>
              <w:t>项目新增4个原料筒仓，包括1#水泥筒仓（300t）、2#水泥筒仓（300t）、3#矿粉罐（300t）和4#粉煤灰筒仓（300t），原料由密封罐车气力输送的散装水泥、矿粉和粉煤灰等，经气力输送泵输送至筒仓内，筒仓顶部呼吸孔产生的粉尘经各自仓顶配套的布袋除尘器处理后分别经15m高排气筒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Cs/>
                <w:color w:val="auto"/>
                <w:sz w:val="24"/>
                <w:szCs w:val="32"/>
                <w:lang w:val="en-US" w:eastAsia="zh-CN"/>
              </w:rPr>
            </w:pPr>
            <w:r>
              <w:rPr>
                <w:rFonts w:hint="eastAsia" w:ascii="Times New Roman" w:hAnsi="Times New Roman" w:cs="Times New Roman"/>
                <w:bCs/>
                <w:color w:val="auto"/>
                <w:sz w:val="24"/>
                <w:szCs w:val="32"/>
                <w:lang w:val="en-US" w:eastAsia="zh-CN"/>
              </w:rPr>
              <w:t>②无组织粉尘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lang w:val="en-US" w:eastAsia="zh-CN"/>
              </w:rPr>
            </w:pPr>
            <w:r>
              <w:rPr>
                <w:rFonts w:hint="eastAsia"/>
                <w:color w:val="auto"/>
                <w:sz w:val="24"/>
              </w:rPr>
              <w:t>项目</w:t>
            </w:r>
            <w:r>
              <w:rPr>
                <w:rFonts w:hint="eastAsia"/>
                <w:color w:val="auto"/>
                <w:sz w:val="24"/>
                <w:lang w:val="en-US" w:eastAsia="zh-CN"/>
              </w:rPr>
              <w:t>原料堆场采用全密闭式库房，</w:t>
            </w:r>
            <w:r>
              <w:rPr>
                <w:rFonts w:hint="eastAsia"/>
                <w:color w:val="auto"/>
                <w:sz w:val="24"/>
              </w:rPr>
              <w:t>无组织粉尘主要产生于</w:t>
            </w:r>
            <w:r>
              <w:rPr>
                <w:rFonts w:hint="eastAsia"/>
                <w:color w:val="auto"/>
                <w:sz w:val="24"/>
                <w:lang w:val="en-US" w:eastAsia="zh-CN"/>
              </w:rPr>
              <w:t>原料库内粒料转运和运输进场过程</w:t>
            </w:r>
            <w:r>
              <w:rPr>
                <w:rFonts w:hint="eastAsia"/>
                <w:color w:val="auto"/>
                <w:sz w:val="24"/>
              </w:rPr>
              <w:t>，</w:t>
            </w:r>
            <w:r>
              <w:rPr>
                <w:rFonts w:hint="eastAsia"/>
                <w:color w:val="auto"/>
                <w:sz w:val="24"/>
                <w:lang w:val="en-US" w:eastAsia="zh-CN"/>
              </w:rPr>
              <w:t>进场和运输道路全部硬化、设置围挡，粒料</w:t>
            </w:r>
            <w:r>
              <w:rPr>
                <w:rFonts w:hint="eastAsia"/>
                <w:color w:val="auto"/>
                <w:sz w:val="24"/>
                <w:highlight w:val="none"/>
                <w:lang w:val="en-US" w:eastAsia="zh-CN"/>
              </w:rPr>
              <w:t>运输过程密闭等措施可有效降低无组织粉尘逸散。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left"/>
              <w:textAlignment w:val="auto"/>
              <w:outlineLvl w:val="9"/>
              <w:rPr>
                <w:rFonts w:hint="default" w:ascii="Times New Roman" w:hAnsi="Times New Roman" w:eastAsia="宋体" w:cs="Times New Roman"/>
                <w:b/>
                <w:bCs/>
                <w:sz w:val="24"/>
                <w:highlight w:val="none"/>
                <w:lang w:val="en-US" w:eastAsia="zh-CN"/>
              </w:rPr>
            </w:pPr>
            <w:r>
              <w:rPr>
                <w:rFonts w:hint="default" w:ascii="Times New Roman" w:hAnsi="Times New Roman" w:eastAsia="宋体" w:cs="Times New Roman"/>
                <w:b/>
                <w:bCs/>
                <w:sz w:val="24"/>
                <w:highlight w:val="none"/>
                <w:lang w:val="en-US" w:eastAsia="zh-CN"/>
              </w:rPr>
              <w:t>1.3噪声排放与治理措施</w:t>
            </w:r>
          </w:p>
          <w:p>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sz w:val="24"/>
                <w:szCs w:val="24"/>
                <w:lang w:eastAsia="zh-CN"/>
              </w:rPr>
            </w:pPr>
            <w:r>
              <w:rPr>
                <w:color w:val="auto"/>
                <w:sz w:val="24"/>
              </w:rPr>
              <w:t>本项目营运期间噪声主要来自搅拌机、螺旋输送机、切割机生产过程中产生的噪声。搅拌机机型先进，噪声较大；切割机噪声相对较小；螺旋输送机正常运行时的噪声较小，</w:t>
            </w:r>
            <w:r>
              <w:rPr>
                <w:rFonts w:hint="eastAsia"/>
                <w:color w:val="auto"/>
                <w:sz w:val="24"/>
                <w:lang w:eastAsia="zh-CN"/>
              </w:rPr>
              <w:t>但</w:t>
            </w:r>
            <w:r>
              <w:rPr>
                <w:color w:val="auto"/>
                <w:sz w:val="24"/>
              </w:rPr>
              <w:t>因堵料等原因运行不畅时，噪声较大</w:t>
            </w:r>
            <w:r>
              <w:rPr>
                <w:rFonts w:hint="default" w:ascii="Times New Roman" w:hAnsi="Times New Roman" w:eastAsia="宋体" w:cs="Times New Roman"/>
                <w:sz w:val="24"/>
                <w:szCs w:val="24"/>
                <w:lang w:eastAsia="zh-CN"/>
              </w:rPr>
              <w:t>。通过选用低噪声设备、设备置于厂房内，利用厂房等建筑物的隔声、距离衰减等措施</w:t>
            </w:r>
            <w:r>
              <w:rPr>
                <w:rFonts w:hint="eastAsia" w:ascii="Times New Roman" w:hAnsi="Times New Roman" w:eastAsia="宋体" w:cs="Times New Roman"/>
                <w:sz w:val="24"/>
                <w:szCs w:val="24"/>
                <w:lang w:val="en-US" w:eastAsia="zh-CN"/>
              </w:rPr>
              <w:t>减轻噪声对周围环境的影响</w:t>
            </w:r>
            <w:r>
              <w:rPr>
                <w:rFonts w:hint="default" w:ascii="Times New Roman" w:hAnsi="Times New Roman" w:eastAsia="宋体" w:cs="Times New Roman"/>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left"/>
              <w:textAlignment w:val="auto"/>
              <w:outlineLvl w:val="9"/>
              <w:rPr>
                <w:rFonts w:hint="default" w:ascii="Times New Roman" w:hAnsi="Times New Roman" w:eastAsia="宋体" w:cs="Times New Roman"/>
                <w:b/>
                <w:bCs/>
                <w:sz w:val="24"/>
                <w:highlight w:val="none"/>
                <w:lang w:val="en-US" w:eastAsia="zh-CN"/>
              </w:rPr>
            </w:pPr>
            <w:r>
              <w:rPr>
                <w:rFonts w:hint="default" w:ascii="Times New Roman" w:hAnsi="Times New Roman" w:eastAsia="宋体" w:cs="Times New Roman"/>
                <w:b/>
                <w:bCs/>
                <w:sz w:val="24"/>
                <w:highlight w:val="none"/>
                <w:lang w:val="en-US" w:eastAsia="zh-CN"/>
              </w:rPr>
              <w:t>1.4固废排放与治理措施</w:t>
            </w:r>
          </w:p>
          <w:p>
            <w:pPr>
              <w:adjustRightInd w:val="0"/>
              <w:snapToGrid w:val="0"/>
              <w:spacing w:line="360" w:lineRule="auto"/>
              <w:ind w:firstLine="480" w:firstLineChars="200"/>
              <w:textAlignment w:val="baseline"/>
              <w:rPr>
                <w:bCs/>
                <w:color w:val="auto"/>
                <w:sz w:val="24"/>
              </w:rPr>
            </w:pPr>
            <w:r>
              <w:rPr>
                <w:bCs/>
                <w:color w:val="auto"/>
                <w:sz w:val="24"/>
              </w:rPr>
              <w:t>本项目运营期产生的固废主要为生产固废（</w:t>
            </w:r>
            <w:r>
              <w:rPr>
                <w:color w:val="auto"/>
                <w:sz w:val="24"/>
                <w:lang w:val="zh-TW" w:eastAsia="zh-TW"/>
              </w:rPr>
              <w:t>废弃的砂石料</w:t>
            </w:r>
            <w:r>
              <w:rPr>
                <w:color w:val="auto"/>
                <w:sz w:val="24"/>
                <w:lang w:val="zh-TW"/>
              </w:rPr>
              <w:t>、</w:t>
            </w:r>
            <w:r>
              <w:rPr>
                <w:color w:val="auto"/>
                <w:sz w:val="24"/>
              </w:rPr>
              <w:t>生产</w:t>
            </w:r>
            <w:r>
              <w:rPr>
                <w:color w:val="auto"/>
                <w:sz w:val="24"/>
                <w:lang w:val="zh-TW" w:eastAsia="zh-TW"/>
              </w:rPr>
              <w:t>废水</w:t>
            </w:r>
            <w:r>
              <w:rPr>
                <w:rFonts w:hint="eastAsia"/>
                <w:color w:val="auto"/>
                <w:sz w:val="24"/>
                <w:lang w:val="zh-TW"/>
              </w:rPr>
              <w:t>循环水池</w:t>
            </w:r>
            <w:r>
              <w:rPr>
                <w:color w:val="auto"/>
                <w:sz w:val="24"/>
                <w:lang w:val="zh-TW" w:eastAsia="zh-TW"/>
              </w:rPr>
              <w:t>产生的沉淀</w:t>
            </w:r>
            <w:r>
              <w:rPr>
                <w:bCs/>
                <w:color w:val="auto"/>
                <w:sz w:val="24"/>
                <w:lang w:eastAsia="zh-TW"/>
              </w:rPr>
              <w:t>泥沙、</w:t>
            </w:r>
            <w:r>
              <w:rPr>
                <w:rFonts w:hint="eastAsia"/>
                <w:bCs/>
                <w:color w:val="auto"/>
                <w:sz w:val="24"/>
              </w:rPr>
              <w:t>软化水系统废树脂、</w:t>
            </w:r>
            <w:r>
              <w:rPr>
                <w:color w:val="auto"/>
                <w:sz w:val="24"/>
              </w:rPr>
              <w:t>除尘器收集的粉尘以及</w:t>
            </w:r>
            <w:r>
              <w:rPr>
                <w:bCs/>
                <w:color w:val="auto"/>
                <w:sz w:val="24"/>
              </w:rPr>
              <w:t>除尘器废旧滤袋）、生活垃圾</w:t>
            </w:r>
            <w:r>
              <w:rPr>
                <w:rFonts w:hint="eastAsia"/>
                <w:bCs/>
                <w:color w:val="auto"/>
                <w:sz w:val="24"/>
              </w:rPr>
              <w:t>、</w:t>
            </w:r>
            <w:r>
              <w:rPr>
                <w:bCs/>
                <w:color w:val="auto"/>
                <w:sz w:val="24"/>
              </w:rPr>
              <w:t>生活污水化粪池污泥、</w:t>
            </w:r>
            <w:r>
              <w:rPr>
                <w:rFonts w:hint="eastAsia"/>
                <w:bCs/>
                <w:color w:val="auto"/>
                <w:sz w:val="24"/>
              </w:rPr>
              <w:t>废润滑油、废机油</w:t>
            </w:r>
            <w:r>
              <w:rPr>
                <w:bCs/>
                <w:color w:val="auto"/>
                <w:sz w:val="24"/>
              </w:rPr>
              <w:t>等。</w:t>
            </w:r>
          </w:p>
          <w:p>
            <w:pPr>
              <w:autoSpaceDE w:val="0"/>
              <w:autoSpaceDN w:val="0"/>
              <w:spacing w:line="360" w:lineRule="auto"/>
              <w:ind w:firstLine="480" w:firstLineChars="200"/>
              <w:rPr>
                <w:bCs/>
                <w:color w:val="auto"/>
                <w:kern w:val="0"/>
                <w:sz w:val="24"/>
              </w:rPr>
            </w:pPr>
            <w:r>
              <w:rPr>
                <w:bCs/>
                <w:color w:val="auto"/>
                <w:kern w:val="0"/>
                <w:sz w:val="24"/>
              </w:rPr>
              <w:t>项目固体废物产生及排放情况见表4-</w:t>
            </w:r>
            <w:r>
              <w:rPr>
                <w:rFonts w:hint="eastAsia"/>
                <w:bCs/>
                <w:color w:val="auto"/>
                <w:kern w:val="0"/>
                <w:sz w:val="24"/>
                <w:lang w:val="en-US" w:eastAsia="zh-CN"/>
              </w:rPr>
              <w:t>9</w:t>
            </w:r>
            <w:r>
              <w:rPr>
                <w:bCs/>
                <w:color w:val="auto"/>
                <w:kern w:val="0"/>
                <w:sz w:val="24"/>
              </w:rPr>
              <w:t>。</w:t>
            </w:r>
          </w:p>
          <w:p>
            <w:pPr>
              <w:ind w:firstLine="1928" w:firstLineChars="800"/>
              <w:rPr>
                <w:b/>
                <w:color w:val="auto"/>
                <w:sz w:val="24"/>
              </w:rPr>
            </w:pPr>
            <w:r>
              <w:rPr>
                <w:b/>
                <w:color w:val="auto"/>
                <w:sz w:val="24"/>
              </w:rPr>
              <w:t>表</w:t>
            </w:r>
            <w:r>
              <w:rPr>
                <w:rFonts w:hint="eastAsia"/>
                <w:b/>
                <w:color w:val="auto"/>
                <w:sz w:val="24"/>
                <w:lang w:val="en-US" w:eastAsia="zh-CN"/>
              </w:rPr>
              <w:t>3</w:t>
            </w:r>
            <w:r>
              <w:rPr>
                <w:b/>
                <w:color w:val="auto"/>
                <w:sz w:val="24"/>
              </w:rPr>
              <w:t>-</w:t>
            </w:r>
            <w:r>
              <w:rPr>
                <w:rFonts w:hint="eastAsia"/>
                <w:b/>
                <w:color w:val="auto"/>
                <w:sz w:val="24"/>
                <w:lang w:val="en-US" w:eastAsia="zh-CN"/>
              </w:rPr>
              <w:t>1</w:t>
            </w:r>
            <w:r>
              <w:rPr>
                <w:b/>
                <w:color w:val="auto"/>
                <w:sz w:val="24"/>
              </w:rPr>
              <w:t xml:space="preserve">       固体废物产生</w:t>
            </w:r>
            <w:r>
              <w:rPr>
                <w:rFonts w:hint="eastAsia"/>
                <w:b/>
                <w:color w:val="auto"/>
                <w:sz w:val="24"/>
                <w:lang w:val="en-US" w:eastAsia="zh-CN"/>
              </w:rPr>
              <w:t>量</w:t>
            </w:r>
            <w:r>
              <w:rPr>
                <w:b/>
                <w:color w:val="auto"/>
                <w:sz w:val="24"/>
              </w:rPr>
              <w:t>及排放情况表</w:t>
            </w:r>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35"/>
              <w:gridCol w:w="1594"/>
              <w:gridCol w:w="1100"/>
              <w:gridCol w:w="1397"/>
              <w:gridCol w:w="32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产生环节</w:t>
                  </w:r>
                </w:p>
              </w:tc>
              <w:tc>
                <w:tcPr>
                  <w:tcW w:w="1594" w:type="dxa"/>
                  <w:tcBorders>
                    <w:tl2br w:val="nil"/>
                    <w:tr2bl w:val="nil"/>
                  </w:tcBorders>
                  <w:vAlign w:val="center"/>
                </w:tcPr>
                <w:p>
                  <w:pPr>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名称</w:t>
                  </w:r>
                </w:p>
              </w:tc>
              <w:tc>
                <w:tcPr>
                  <w:tcW w:w="1100" w:type="dxa"/>
                  <w:tcBorders>
                    <w:tl2br w:val="nil"/>
                    <w:tr2bl w:val="nil"/>
                  </w:tcBorders>
                  <w:vAlign w:val="center"/>
                </w:tcPr>
                <w:p>
                  <w:pPr>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产生量（</w:t>
                  </w:r>
                  <w:r>
                    <w:rPr>
                      <w:rFonts w:hint="eastAsia" w:ascii="宋体" w:hAnsi="宋体" w:eastAsia="宋体" w:cs="宋体"/>
                      <w:b/>
                      <w:color w:val="auto"/>
                      <w:sz w:val="24"/>
                      <w:szCs w:val="24"/>
                    </w:rPr>
                    <w:t>t/a）</w:t>
                  </w:r>
                </w:p>
              </w:tc>
              <w:tc>
                <w:tcPr>
                  <w:tcW w:w="1397" w:type="dxa"/>
                  <w:tcBorders>
                    <w:tl2br w:val="nil"/>
                    <w:tr2bl w:val="nil"/>
                  </w:tcBorders>
                  <w:vAlign w:val="center"/>
                </w:tcPr>
                <w:p>
                  <w:pPr>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贮存方式</w:t>
                  </w:r>
                </w:p>
              </w:tc>
              <w:tc>
                <w:tcPr>
                  <w:tcW w:w="3250" w:type="dxa"/>
                  <w:tcBorders>
                    <w:tl2br w:val="nil"/>
                    <w:tr2bl w:val="nil"/>
                  </w:tcBorders>
                  <w:vAlign w:val="center"/>
                </w:tcPr>
                <w:p>
                  <w:pPr>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利用处置方式和去向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生产中</w:t>
                  </w:r>
                </w:p>
              </w:tc>
              <w:tc>
                <w:tcPr>
                  <w:tcW w:w="1594" w:type="dxa"/>
                  <w:tcBorders>
                    <w:tl2br w:val="nil"/>
                    <w:tr2bl w:val="nil"/>
                  </w:tcBorders>
                  <w:vAlign w:val="center"/>
                </w:tcPr>
                <w:p>
                  <w:pPr>
                    <w:jc w:val="center"/>
                    <w:rPr>
                      <w:rFonts w:hint="eastAsia" w:ascii="宋体" w:hAnsi="宋体" w:eastAsia="宋体" w:cs="宋体"/>
                      <w:bCs/>
                      <w:color w:val="auto"/>
                      <w:sz w:val="24"/>
                      <w:szCs w:val="24"/>
                    </w:rPr>
                  </w:pPr>
                  <w:r>
                    <w:rPr>
                      <w:rFonts w:hint="eastAsia" w:ascii="宋体" w:hAnsi="宋体" w:eastAsia="宋体" w:cs="宋体"/>
                      <w:color w:val="auto"/>
                      <w:sz w:val="24"/>
                      <w:szCs w:val="24"/>
                    </w:rPr>
                    <w:t>不合格砂石料</w:t>
                  </w:r>
                </w:p>
              </w:tc>
              <w:tc>
                <w:tcPr>
                  <w:tcW w:w="1100" w:type="dxa"/>
                  <w:tcBorders>
                    <w:tl2br w:val="nil"/>
                    <w:tr2bl w:val="nil"/>
                  </w:tcBorders>
                  <w:vAlign w:val="center"/>
                </w:tcPr>
                <w:p>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77</w:t>
                  </w:r>
                </w:p>
              </w:tc>
              <w:tc>
                <w:tcPr>
                  <w:tcW w:w="1397" w:type="dxa"/>
                  <w:tcBorders>
                    <w:tl2br w:val="nil"/>
                    <w:tr2bl w:val="nil"/>
                  </w:tcBorders>
                  <w:vAlign w:val="center"/>
                </w:tcPr>
                <w:p>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集中收集</w:t>
                  </w:r>
                </w:p>
              </w:tc>
              <w:tc>
                <w:tcPr>
                  <w:tcW w:w="3250" w:type="dxa"/>
                  <w:tcBorders>
                    <w:tl2br w:val="nil"/>
                    <w:tr2bl w:val="nil"/>
                  </w:tcBorders>
                  <w:vAlign w:val="center"/>
                </w:tcPr>
                <w:p>
                  <w:pPr>
                    <w:rPr>
                      <w:rFonts w:hint="eastAsia" w:ascii="宋体" w:hAnsi="宋体" w:eastAsia="宋体" w:cs="宋体"/>
                      <w:bCs/>
                      <w:color w:val="auto"/>
                      <w:sz w:val="24"/>
                      <w:szCs w:val="24"/>
                    </w:rPr>
                  </w:pPr>
                  <w:r>
                    <w:rPr>
                      <w:rFonts w:hint="eastAsia" w:ascii="宋体" w:hAnsi="宋体" w:eastAsia="宋体" w:cs="宋体"/>
                      <w:color w:val="auto"/>
                      <w:sz w:val="24"/>
                      <w:szCs w:val="24"/>
                    </w:rPr>
                    <w:t>作为</w:t>
                  </w:r>
                  <w:r>
                    <w:rPr>
                      <w:rFonts w:hint="eastAsia" w:ascii="宋体" w:hAnsi="宋体" w:eastAsia="宋体" w:cs="宋体"/>
                      <w:bCs/>
                      <w:color w:val="auto"/>
                      <w:sz w:val="24"/>
                      <w:szCs w:val="24"/>
                    </w:rPr>
                    <w:t>路面铺垫料，或地面平整的填料综合利用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restart"/>
                  <w:tcBorders>
                    <w:tl2br w:val="nil"/>
                    <w:tr2bl w:val="nil"/>
                  </w:tcBorders>
                  <w:vAlign w:val="center"/>
                </w:tcPr>
                <w:p>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废气处理</w:t>
                  </w:r>
                </w:p>
              </w:tc>
              <w:tc>
                <w:tcPr>
                  <w:tcW w:w="1594" w:type="dxa"/>
                  <w:tcBorders>
                    <w:tl2br w:val="nil"/>
                    <w:tr2bl w:val="nil"/>
                  </w:tcBorders>
                  <w:vAlign w:val="center"/>
                </w:tcPr>
                <w:p>
                  <w:pPr>
                    <w:jc w:val="center"/>
                    <w:rPr>
                      <w:rFonts w:hint="eastAsia" w:ascii="宋体" w:hAnsi="宋体" w:eastAsia="宋体" w:cs="宋体"/>
                      <w:bCs/>
                      <w:color w:val="auto"/>
                      <w:sz w:val="24"/>
                      <w:szCs w:val="24"/>
                    </w:rPr>
                  </w:pPr>
                  <w:r>
                    <w:rPr>
                      <w:rFonts w:hint="eastAsia" w:ascii="宋体" w:hAnsi="宋体" w:eastAsia="宋体" w:cs="宋体"/>
                      <w:color w:val="auto"/>
                      <w:sz w:val="24"/>
                      <w:szCs w:val="24"/>
                    </w:rPr>
                    <w:t>收集粉尘</w:t>
                  </w:r>
                </w:p>
              </w:tc>
              <w:tc>
                <w:tcPr>
                  <w:tcW w:w="1100" w:type="dxa"/>
                  <w:tcBorders>
                    <w:tl2br w:val="nil"/>
                    <w:tr2bl w:val="nil"/>
                  </w:tcBorders>
                  <w:vAlign w:val="center"/>
                </w:tcPr>
                <w:p>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765</w:t>
                  </w:r>
                </w:p>
              </w:tc>
              <w:tc>
                <w:tcPr>
                  <w:tcW w:w="1397" w:type="dxa"/>
                  <w:tcBorders>
                    <w:tl2br w:val="nil"/>
                    <w:tr2bl w:val="nil"/>
                  </w:tcBorders>
                  <w:vAlign w:val="center"/>
                </w:tcPr>
                <w:p>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集中收集</w:t>
                  </w:r>
                </w:p>
              </w:tc>
              <w:tc>
                <w:tcPr>
                  <w:tcW w:w="3250" w:type="dxa"/>
                  <w:tcBorders>
                    <w:tl2br w:val="nil"/>
                    <w:tr2bl w:val="nil"/>
                  </w:tcBorders>
                  <w:vAlign w:val="center"/>
                </w:tcPr>
                <w:p>
                  <w:pPr>
                    <w:rPr>
                      <w:rFonts w:hint="eastAsia" w:ascii="宋体" w:hAnsi="宋体" w:eastAsia="宋体" w:cs="宋体"/>
                      <w:bCs/>
                      <w:color w:val="auto"/>
                      <w:sz w:val="24"/>
                      <w:szCs w:val="24"/>
                    </w:rPr>
                  </w:pPr>
                  <w:r>
                    <w:rPr>
                      <w:rFonts w:hint="eastAsia" w:ascii="宋体" w:hAnsi="宋体" w:eastAsia="宋体" w:cs="宋体"/>
                      <w:bCs/>
                      <w:color w:val="auto"/>
                      <w:sz w:val="24"/>
                      <w:szCs w:val="24"/>
                    </w:rPr>
                    <w:t>回用于生产中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vAlign w:val="center"/>
                </w:tcPr>
                <w:p>
                  <w:pPr>
                    <w:jc w:val="center"/>
                    <w:rPr>
                      <w:rFonts w:hint="eastAsia" w:ascii="宋体" w:hAnsi="宋体" w:eastAsia="宋体" w:cs="宋体"/>
                      <w:bCs/>
                      <w:color w:val="auto"/>
                      <w:sz w:val="24"/>
                      <w:szCs w:val="24"/>
                    </w:rPr>
                  </w:pPr>
                </w:p>
              </w:tc>
              <w:tc>
                <w:tcPr>
                  <w:tcW w:w="1594" w:type="dxa"/>
                  <w:tcBorders>
                    <w:tl2br w:val="nil"/>
                    <w:tr2bl w:val="nil"/>
                  </w:tcBorders>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废旧滤袋</w:t>
                  </w:r>
                </w:p>
              </w:tc>
              <w:tc>
                <w:tcPr>
                  <w:tcW w:w="1100" w:type="dxa"/>
                  <w:tcBorders>
                    <w:tl2br w:val="nil"/>
                    <w:tr2bl w:val="nil"/>
                  </w:tcBorders>
                  <w:vAlign w:val="center"/>
                </w:tcPr>
                <w:p>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10</w:t>
                  </w:r>
                </w:p>
              </w:tc>
              <w:tc>
                <w:tcPr>
                  <w:tcW w:w="1397" w:type="dxa"/>
                  <w:tcBorders>
                    <w:tl2br w:val="nil"/>
                    <w:tr2bl w:val="nil"/>
                  </w:tcBorders>
                  <w:vAlign w:val="center"/>
                </w:tcPr>
                <w:p>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集中收集</w:t>
                  </w:r>
                </w:p>
              </w:tc>
              <w:tc>
                <w:tcPr>
                  <w:tcW w:w="3250" w:type="dxa"/>
                  <w:tcBorders>
                    <w:tl2br w:val="nil"/>
                    <w:tr2bl w:val="nil"/>
                  </w:tcBorders>
                  <w:vAlign w:val="center"/>
                </w:tcPr>
                <w:p>
                  <w:pPr>
                    <w:rPr>
                      <w:rFonts w:hint="eastAsia" w:ascii="宋体" w:hAnsi="宋体" w:eastAsia="宋体" w:cs="宋体"/>
                      <w:bCs/>
                      <w:color w:val="auto"/>
                      <w:sz w:val="24"/>
                      <w:szCs w:val="24"/>
                    </w:rPr>
                  </w:pPr>
                  <w:r>
                    <w:rPr>
                      <w:rFonts w:hint="eastAsia" w:ascii="宋体" w:hAnsi="宋体" w:eastAsia="宋体" w:cs="宋体"/>
                      <w:bCs/>
                      <w:color w:val="auto"/>
                      <w:sz w:val="24"/>
                      <w:szCs w:val="24"/>
                    </w:rPr>
                    <w:t>交废旧物资回收部门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软水系统</w:t>
                  </w:r>
                </w:p>
              </w:tc>
              <w:tc>
                <w:tcPr>
                  <w:tcW w:w="1594" w:type="dxa"/>
                  <w:tcBorders>
                    <w:bottom w:val="single" w:color="auto" w:sz="4" w:space="0"/>
                    <w:tl2br w:val="nil"/>
                    <w:tr2bl w:val="nil"/>
                  </w:tcBorders>
                  <w:vAlign w:val="center"/>
                </w:tcPr>
                <w:p>
                  <w:pPr>
                    <w:jc w:val="center"/>
                    <w:rPr>
                      <w:rFonts w:hint="eastAsia" w:ascii="宋体" w:hAnsi="宋体" w:eastAsia="宋体" w:cs="宋体"/>
                      <w:color w:val="auto"/>
                      <w:sz w:val="24"/>
                      <w:szCs w:val="24"/>
                    </w:rPr>
                  </w:pPr>
                  <w:r>
                    <w:rPr>
                      <w:rFonts w:hint="eastAsia" w:ascii="宋体" w:hAnsi="宋体" w:eastAsia="宋体" w:cs="宋体"/>
                      <w:bCs/>
                      <w:color w:val="auto"/>
                      <w:sz w:val="24"/>
                      <w:szCs w:val="24"/>
                    </w:rPr>
                    <w:t>废树脂</w:t>
                  </w:r>
                </w:p>
              </w:tc>
              <w:tc>
                <w:tcPr>
                  <w:tcW w:w="1100" w:type="dxa"/>
                  <w:tcBorders>
                    <w:tl2br w:val="nil"/>
                    <w:tr2bl w:val="nil"/>
                  </w:tcBorders>
                  <w:vAlign w:val="center"/>
                </w:tcPr>
                <w:p>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2</w:t>
                  </w:r>
                </w:p>
              </w:tc>
              <w:tc>
                <w:tcPr>
                  <w:tcW w:w="1397" w:type="dxa"/>
                  <w:tcBorders>
                    <w:tl2br w:val="nil"/>
                    <w:tr2bl w:val="nil"/>
                  </w:tcBorders>
                  <w:vAlign w:val="center"/>
                </w:tcPr>
                <w:p>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集中收集</w:t>
                  </w:r>
                </w:p>
              </w:tc>
              <w:tc>
                <w:tcPr>
                  <w:tcW w:w="3250" w:type="dxa"/>
                  <w:tcBorders>
                    <w:tl2br w:val="nil"/>
                    <w:tr2bl w:val="nil"/>
                  </w:tcBorders>
                  <w:vAlign w:val="center"/>
                </w:tcPr>
                <w:p>
                  <w:pPr>
                    <w:rPr>
                      <w:rFonts w:hint="eastAsia" w:ascii="宋体" w:hAnsi="宋体" w:eastAsia="宋体" w:cs="宋体"/>
                      <w:bCs/>
                      <w:color w:val="auto"/>
                      <w:sz w:val="24"/>
                      <w:szCs w:val="24"/>
                    </w:rPr>
                  </w:pPr>
                  <w:r>
                    <w:rPr>
                      <w:rFonts w:hint="eastAsia" w:ascii="宋体" w:hAnsi="宋体" w:eastAsia="宋体" w:cs="宋体"/>
                      <w:bCs/>
                      <w:color w:val="auto"/>
                      <w:sz w:val="24"/>
                      <w:szCs w:val="24"/>
                    </w:rPr>
                    <w:t>交废旧物资回收部门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lang w:val="zh-TW"/>
                    </w:rPr>
                    <w:t>循环水池</w:t>
                  </w:r>
                </w:p>
              </w:tc>
              <w:tc>
                <w:tcPr>
                  <w:tcW w:w="1594" w:type="dxa"/>
                  <w:tcBorders>
                    <w:top w:val="single" w:color="auto" w:sz="4" w:space="0"/>
                    <w:tl2br w:val="nil"/>
                    <w:tr2bl w:val="nil"/>
                  </w:tcBorders>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lang w:val="zh-TW"/>
                    </w:rPr>
                    <w:t>沉淀</w:t>
                  </w:r>
                  <w:r>
                    <w:rPr>
                      <w:rFonts w:hint="eastAsia" w:ascii="宋体" w:hAnsi="宋体" w:eastAsia="宋体" w:cs="宋体"/>
                      <w:bCs/>
                      <w:color w:val="auto"/>
                      <w:sz w:val="24"/>
                      <w:szCs w:val="24"/>
                    </w:rPr>
                    <w:t>泥沙</w:t>
                  </w:r>
                </w:p>
              </w:tc>
              <w:tc>
                <w:tcPr>
                  <w:tcW w:w="1100" w:type="dxa"/>
                  <w:tcBorders>
                    <w:tl2br w:val="nil"/>
                    <w:tr2bl w:val="nil"/>
                  </w:tcBorders>
                  <w:vAlign w:val="center"/>
                </w:tcPr>
                <w:p>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18</w:t>
                  </w:r>
                </w:p>
              </w:tc>
              <w:tc>
                <w:tcPr>
                  <w:tcW w:w="1397" w:type="dxa"/>
                  <w:tcBorders>
                    <w:tl2br w:val="nil"/>
                    <w:tr2bl w:val="nil"/>
                  </w:tcBorders>
                  <w:vAlign w:val="center"/>
                </w:tcPr>
                <w:p>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集中收集</w:t>
                  </w:r>
                </w:p>
              </w:tc>
              <w:tc>
                <w:tcPr>
                  <w:tcW w:w="3250" w:type="dxa"/>
                  <w:tcBorders>
                    <w:tl2br w:val="nil"/>
                    <w:tr2bl w:val="nil"/>
                  </w:tcBorders>
                  <w:vAlign w:val="center"/>
                </w:tcPr>
                <w:p>
                  <w:pPr>
                    <w:rPr>
                      <w:rFonts w:hint="eastAsia" w:ascii="宋体" w:hAnsi="宋体" w:eastAsia="宋体" w:cs="宋体"/>
                      <w:bCs/>
                      <w:color w:val="auto"/>
                      <w:sz w:val="24"/>
                      <w:szCs w:val="24"/>
                    </w:rPr>
                  </w:pPr>
                  <w:r>
                    <w:rPr>
                      <w:rFonts w:hint="eastAsia" w:ascii="宋体" w:hAnsi="宋体" w:eastAsia="宋体" w:cs="宋体"/>
                      <w:bCs/>
                      <w:color w:val="auto"/>
                      <w:sz w:val="24"/>
                      <w:szCs w:val="24"/>
                    </w:rPr>
                    <w:t>路面铺垫或地面平整利用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restart"/>
                  <w:tcBorders>
                    <w:tl2br w:val="nil"/>
                    <w:tr2bl w:val="nil"/>
                  </w:tcBorders>
                  <w:vAlign w:val="center"/>
                </w:tcPr>
                <w:p>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生活区</w:t>
                  </w:r>
                </w:p>
              </w:tc>
              <w:tc>
                <w:tcPr>
                  <w:tcW w:w="1594" w:type="dxa"/>
                  <w:tcBorders>
                    <w:tl2br w:val="nil"/>
                    <w:tr2bl w:val="nil"/>
                  </w:tcBorders>
                  <w:vAlign w:val="center"/>
                </w:tcPr>
                <w:p>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生活垃圾</w:t>
                  </w:r>
                </w:p>
              </w:tc>
              <w:tc>
                <w:tcPr>
                  <w:tcW w:w="1100" w:type="dxa"/>
                  <w:tcBorders>
                    <w:tl2br w:val="nil"/>
                    <w:tr2bl w:val="nil"/>
                  </w:tcBorders>
                  <w:vAlign w:val="center"/>
                </w:tcPr>
                <w:p>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15</w:t>
                  </w:r>
                </w:p>
              </w:tc>
              <w:tc>
                <w:tcPr>
                  <w:tcW w:w="1397" w:type="dxa"/>
                  <w:tcBorders>
                    <w:tl2br w:val="nil"/>
                    <w:tr2bl w:val="nil"/>
                  </w:tcBorders>
                  <w:vAlign w:val="center"/>
                </w:tcPr>
                <w:p>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集中收集</w:t>
                  </w:r>
                </w:p>
              </w:tc>
              <w:tc>
                <w:tcPr>
                  <w:tcW w:w="3250" w:type="dxa"/>
                  <w:tcBorders>
                    <w:tl2br w:val="nil"/>
                    <w:tr2bl w:val="nil"/>
                  </w:tcBorders>
                  <w:vAlign w:val="center"/>
                </w:tcPr>
                <w:p>
                  <w:pPr>
                    <w:rPr>
                      <w:rFonts w:hint="eastAsia" w:ascii="宋体" w:hAnsi="宋体" w:eastAsia="宋体" w:cs="宋体"/>
                      <w:bCs/>
                      <w:color w:val="auto"/>
                      <w:sz w:val="24"/>
                      <w:szCs w:val="24"/>
                    </w:rPr>
                  </w:pPr>
                  <w:r>
                    <w:rPr>
                      <w:rFonts w:hint="eastAsia" w:ascii="宋体" w:hAnsi="宋体" w:eastAsia="宋体" w:cs="宋体"/>
                      <w:color w:val="auto"/>
                      <w:sz w:val="24"/>
                      <w:szCs w:val="24"/>
                    </w:rPr>
                    <w:t>交由环卫部门统一清运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vAlign w:val="center"/>
                </w:tcPr>
                <w:p>
                  <w:pPr>
                    <w:jc w:val="center"/>
                    <w:rPr>
                      <w:rFonts w:hint="eastAsia" w:ascii="宋体" w:hAnsi="宋体" w:eastAsia="宋体" w:cs="宋体"/>
                      <w:bCs/>
                      <w:color w:val="auto"/>
                      <w:sz w:val="24"/>
                      <w:szCs w:val="24"/>
                    </w:rPr>
                  </w:pPr>
                </w:p>
              </w:tc>
              <w:tc>
                <w:tcPr>
                  <w:tcW w:w="1594" w:type="dxa"/>
                  <w:tcBorders>
                    <w:tl2br w:val="nil"/>
                    <w:tr2bl w:val="nil"/>
                  </w:tcBorders>
                  <w:vAlign w:val="center"/>
                </w:tcPr>
                <w:p>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化粪池污泥</w:t>
                  </w:r>
                </w:p>
              </w:tc>
              <w:tc>
                <w:tcPr>
                  <w:tcW w:w="1100" w:type="dxa"/>
                  <w:tcBorders>
                    <w:tl2br w:val="nil"/>
                    <w:tr2bl w:val="nil"/>
                  </w:tcBorders>
                  <w:vAlign w:val="center"/>
                </w:tcPr>
                <w:p>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5</w:t>
                  </w:r>
                </w:p>
              </w:tc>
              <w:tc>
                <w:tcPr>
                  <w:tcW w:w="1397" w:type="dxa"/>
                  <w:tcBorders>
                    <w:tl2br w:val="nil"/>
                    <w:tr2bl w:val="nil"/>
                  </w:tcBorders>
                  <w:vAlign w:val="center"/>
                </w:tcPr>
                <w:p>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集中收集</w:t>
                  </w:r>
                </w:p>
              </w:tc>
              <w:tc>
                <w:tcPr>
                  <w:tcW w:w="3250" w:type="dxa"/>
                  <w:tcBorders>
                    <w:tl2br w:val="nil"/>
                    <w:tr2bl w:val="nil"/>
                  </w:tcBorders>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交由环卫部门统一抽运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危险废物</w:t>
                  </w:r>
                </w:p>
              </w:tc>
              <w:tc>
                <w:tcPr>
                  <w:tcW w:w="1594" w:type="dxa"/>
                  <w:tcBorders>
                    <w:tl2br w:val="nil"/>
                    <w:tr2bl w:val="nil"/>
                  </w:tcBorders>
                  <w:vAlign w:val="center"/>
                </w:tcPr>
                <w:p>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废润滑油</w:t>
                  </w:r>
                </w:p>
              </w:tc>
              <w:tc>
                <w:tcPr>
                  <w:tcW w:w="1100" w:type="dxa"/>
                  <w:tcBorders>
                    <w:tl2br w:val="nil"/>
                    <w:tr2bl w:val="nil"/>
                  </w:tcBorders>
                  <w:vAlign w:val="center"/>
                </w:tcPr>
                <w:p>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1.0</w:t>
                  </w:r>
                </w:p>
              </w:tc>
              <w:tc>
                <w:tcPr>
                  <w:tcW w:w="1397" w:type="dxa"/>
                  <w:tcBorders>
                    <w:tl2br w:val="nil"/>
                    <w:tr2bl w:val="nil"/>
                  </w:tcBorders>
                  <w:vAlign w:val="center"/>
                </w:tcPr>
                <w:p>
                  <w:pPr>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危废暂存间</w:t>
                  </w:r>
                  <w:r>
                    <w:rPr>
                      <w:rFonts w:hint="eastAsia" w:ascii="宋体" w:hAnsi="宋体" w:cs="宋体"/>
                      <w:bCs/>
                      <w:color w:val="auto"/>
                      <w:sz w:val="24"/>
                      <w:szCs w:val="24"/>
                      <w:lang w:val="en-US" w:eastAsia="zh-CN"/>
                    </w:rPr>
                    <w:t>暂存</w:t>
                  </w:r>
                </w:p>
              </w:tc>
              <w:tc>
                <w:tcPr>
                  <w:tcW w:w="3250" w:type="dxa"/>
                  <w:tcBorders>
                    <w:tl2br w:val="nil"/>
                    <w:tr2bl w:val="nil"/>
                  </w:tcBorders>
                  <w:vAlign w:val="center"/>
                </w:tcPr>
                <w:p>
                  <w:pPr>
                    <w:rPr>
                      <w:rFonts w:hint="eastAsia" w:ascii="宋体" w:hAnsi="宋体" w:eastAsia="宋体" w:cs="宋体"/>
                      <w:bCs/>
                      <w:color w:val="auto"/>
                      <w:sz w:val="24"/>
                      <w:szCs w:val="24"/>
                    </w:rPr>
                  </w:pPr>
                  <w:r>
                    <w:rPr>
                      <w:rFonts w:hint="eastAsia" w:ascii="宋体" w:hAnsi="宋体" w:eastAsia="宋体" w:cs="宋体"/>
                      <w:bCs/>
                      <w:color w:val="auto"/>
                      <w:sz w:val="24"/>
                      <w:szCs w:val="24"/>
                    </w:rPr>
                    <w:t>委托有资质单位处置</w:t>
                  </w:r>
                </w:p>
              </w:tc>
            </w:tr>
          </w:tbl>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000000"/>
                <w:sz w:val="24"/>
                <w:highlight w:val="none"/>
                <w:lang w:val="en-US" w:eastAsia="zh-CN"/>
              </w:rPr>
            </w:pPr>
          </w:p>
        </w:tc>
      </w:tr>
    </w:tbl>
    <w:p>
      <w:pPr>
        <w:pStyle w:val="3"/>
        <w:spacing w:before="0" w:after="0" w:line="240" w:lineRule="auto"/>
        <w:rPr>
          <w:rFonts w:hint="default" w:ascii="Times New Roman" w:hAnsi="Times New Roman" w:eastAsia="宋体" w:cs="Times New Roman"/>
          <w:sz w:val="24"/>
          <w:highlight w:val="none"/>
        </w:rPr>
      </w:pPr>
      <w:bookmarkStart w:id="3" w:name="_Toc31114"/>
      <w:r>
        <w:rPr>
          <w:rFonts w:hint="default" w:ascii="Times New Roman" w:hAnsi="Times New Roman" w:eastAsia="宋体" w:cs="Times New Roman"/>
          <w:sz w:val="24"/>
          <w:highlight w:val="none"/>
        </w:rPr>
        <w:t>表</w:t>
      </w:r>
      <w:r>
        <w:rPr>
          <w:rFonts w:hint="default" w:ascii="Times New Roman" w:hAnsi="Times New Roman" w:eastAsia="宋体" w:cs="Times New Roman"/>
          <w:sz w:val="24"/>
          <w:highlight w:val="none"/>
          <w:lang w:eastAsia="zh-CN"/>
        </w:rPr>
        <w:t>四</w:t>
      </w:r>
      <w:r>
        <w:rPr>
          <w:rFonts w:hint="default" w:ascii="Times New Roman" w:hAnsi="Times New Roman" w:eastAsia="宋体" w:cs="Times New Roman"/>
          <w:b/>
          <w:kern w:val="44"/>
          <w:sz w:val="24"/>
          <w:szCs w:val="24"/>
          <w:highlight w:val="none"/>
          <w:lang w:val="en-US" w:eastAsia="zh-CN" w:bidi="ar-SA"/>
        </w:rPr>
        <w:t>建设项目环境影响报告表主要结论及审批部门审批决定</w:t>
      </w:r>
    </w:p>
    <w:tbl>
      <w:tblPr>
        <w:tblStyle w:val="23"/>
        <w:tblW w:w="8522"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2529" w:hRule="atLeast"/>
        </w:trPr>
        <w:tc>
          <w:tcPr>
            <w:tcW w:w="8522" w:type="dxa"/>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建设项目环境影响报告表主要结论</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2" w:firstLineChars="200"/>
              <w:textAlignment w:val="auto"/>
              <w:rPr>
                <w:rFonts w:hint="default" w:ascii="Times New Roman" w:hAnsi="Times New Roman" w:eastAsia="宋体" w:cs="Times New Roman"/>
                <w:b/>
                <w:bCs/>
                <w:kern w:val="2"/>
                <w:sz w:val="24"/>
                <w:szCs w:val="24"/>
                <w:highlight w:val="none"/>
                <w:lang w:val="en-US" w:eastAsia="zh-CN" w:bidi="ar-SA"/>
              </w:rPr>
            </w:pPr>
            <w:r>
              <w:rPr>
                <w:rFonts w:hint="default" w:ascii="Times New Roman" w:hAnsi="Times New Roman" w:eastAsia="宋体" w:cs="Times New Roman"/>
                <w:b/>
                <w:bCs/>
                <w:kern w:val="2"/>
                <w:sz w:val="24"/>
                <w:szCs w:val="24"/>
                <w:highlight w:val="none"/>
                <w:lang w:val="en-US" w:eastAsia="zh-CN" w:bidi="ar-SA"/>
              </w:rPr>
              <w:t>1 项目概况</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本项目选址位于</w:t>
            </w:r>
            <w:r>
              <w:rPr>
                <w:rFonts w:hint="eastAsia" w:ascii="宋体" w:cs="宋体"/>
                <w:color w:val="auto"/>
                <w:sz w:val="24"/>
              </w:rPr>
              <w:t>新疆库尔勒经济技术开发区康盛路西侧</w:t>
            </w:r>
            <w:r>
              <w:rPr>
                <w:rFonts w:hint="default" w:ascii="Times New Roman" w:hAnsi="Times New Roman" w:eastAsia="宋体" w:cs="Times New Roman"/>
                <w:kern w:val="2"/>
                <w:sz w:val="24"/>
                <w:szCs w:val="24"/>
                <w:highlight w:val="none"/>
                <w:lang w:val="en-US" w:eastAsia="zh-CN" w:bidi="ar-SA"/>
              </w:rPr>
              <w:t>，</w:t>
            </w:r>
            <w:r>
              <w:rPr>
                <w:rFonts w:hint="eastAsia"/>
                <w:color w:val="auto"/>
                <w:sz w:val="24"/>
              </w:rPr>
              <w:t>项目区东侧为空地，南侧为空地，北侧为中油能源加油加气站，西侧为空地</w:t>
            </w:r>
            <w:r>
              <w:rPr>
                <w:rFonts w:hint="default" w:ascii="Times New Roman" w:hAnsi="Times New Roman" w:eastAsia="宋体" w:cs="Times New Roman"/>
                <w:kern w:val="2"/>
                <w:sz w:val="24"/>
                <w:szCs w:val="24"/>
                <w:highlight w:val="none"/>
                <w:lang w:val="en-US" w:eastAsia="zh-CN" w:bidi="ar-SA"/>
              </w:rPr>
              <w:t>。项目所在地交通便利，用地外部环境优越。项目中心地理坐标：</w:t>
            </w:r>
            <w:r>
              <w:rPr>
                <w:rFonts w:hint="default" w:ascii="Times New Roman" w:hAnsi="Times New Roman" w:cs="Times New Roman"/>
                <w:bCs/>
                <w:color w:val="auto"/>
                <w:sz w:val="24"/>
              </w:rPr>
              <w:t>E</w:t>
            </w:r>
            <w:r>
              <w:rPr>
                <w:rFonts w:hint="default" w:ascii="Times New Roman" w:hAnsi="Times New Roman" w:cs="Times New Roman"/>
                <w:color w:val="auto"/>
                <w:sz w:val="24"/>
              </w:rPr>
              <w:t xml:space="preserve"> </w:t>
            </w:r>
            <w:r>
              <w:rPr>
                <w:rFonts w:hint="default" w:ascii="Times New Roman" w:hAnsi="Times New Roman" w:cs="Times New Roman"/>
                <w:bCs/>
                <w:color w:val="auto"/>
                <w:sz w:val="24"/>
              </w:rPr>
              <w:t>86°11'53.280"，N</w:t>
            </w:r>
            <w:r>
              <w:rPr>
                <w:rFonts w:hint="default" w:ascii="Times New Roman" w:hAnsi="Times New Roman" w:cs="Times New Roman"/>
                <w:color w:val="auto"/>
                <w:sz w:val="24"/>
              </w:rPr>
              <w:t>41°40'24.420</w:t>
            </w:r>
            <w:r>
              <w:rPr>
                <w:rFonts w:hint="eastAsia" w:cs="Times New Roman"/>
                <w:color w:val="auto"/>
                <w:sz w:val="24"/>
                <w:lang w:eastAsia="zh-CN"/>
              </w:rPr>
              <w:t>”。</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本项目</w:t>
            </w:r>
            <w:r>
              <w:rPr>
                <w:rFonts w:hint="eastAsia"/>
                <w:color w:val="auto"/>
                <w:sz w:val="24"/>
                <w:lang w:val="en-US" w:eastAsia="zh-CN"/>
              </w:rPr>
              <w:t>用地总面积</w:t>
            </w:r>
            <w:r>
              <w:rPr>
                <w:rFonts w:hint="default" w:ascii="Times New Roman" w:hAnsi="Times New Roman" w:cs="Times New Roman"/>
                <w:color w:val="auto"/>
                <w:sz w:val="24"/>
              </w:rPr>
              <w:t>140928.01m</w:t>
            </w:r>
            <w:r>
              <w:rPr>
                <w:rFonts w:hint="default" w:ascii="Times New Roman" w:hAnsi="Times New Roman" w:cs="Times New Roman"/>
                <w:color w:val="auto"/>
                <w:sz w:val="24"/>
                <w:vertAlign w:val="superscript"/>
              </w:rPr>
              <w:t>2</w:t>
            </w:r>
            <w:r>
              <w:rPr>
                <w:rFonts w:hint="eastAsia" w:ascii="Times New Roman" w:hAnsi="Times New Roman" w:cs="Times New Roman"/>
                <w:color w:val="auto"/>
                <w:sz w:val="24"/>
                <w:vertAlign w:val="baseline"/>
                <w:lang w:eastAsia="zh-CN"/>
              </w:rPr>
              <w:t>（</w:t>
            </w:r>
            <w:r>
              <w:rPr>
                <w:rFonts w:hint="eastAsia" w:ascii="Times New Roman" w:hAnsi="Times New Roman" w:cs="Times New Roman"/>
                <w:color w:val="auto"/>
                <w:sz w:val="24"/>
                <w:vertAlign w:val="baseline"/>
                <w:lang w:val="en-US" w:eastAsia="zh-CN"/>
              </w:rPr>
              <w:t>211.39亩</w:t>
            </w:r>
            <w:r>
              <w:rPr>
                <w:rFonts w:hint="eastAsia" w:ascii="Times New Roman" w:hAnsi="Times New Roman" w:cs="Times New Roman"/>
                <w:color w:val="auto"/>
                <w:sz w:val="24"/>
                <w:vertAlign w:val="baseline"/>
                <w:lang w:eastAsia="zh-CN"/>
              </w:rPr>
              <w:t>）</w:t>
            </w:r>
            <w:r>
              <w:rPr>
                <w:rFonts w:hint="default" w:ascii="Times New Roman" w:hAnsi="Times New Roman" w:eastAsia="宋体" w:cs="Times New Roman"/>
                <w:kern w:val="2"/>
                <w:sz w:val="24"/>
                <w:szCs w:val="24"/>
                <w:highlight w:val="none"/>
                <w:lang w:val="en-US" w:eastAsia="zh-CN" w:bidi="ar-SA"/>
              </w:rPr>
              <w:t>，建筑面积</w:t>
            </w:r>
            <w:r>
              <w:rPr>
                <w:rFonts w:hint="eastAsia" w:ascii="Times New Roman" w:hAnsi="Times New Roman" w:eastAsia="宋体" w:cs="Times New Roman"/>
                <w:kern w:val="2"/>
                <w:sz w:val="24"/>
                <w:szCs w:val="24"/>
                <w:highlight w:val="none"/>
                <w:lang w:val="en-US" w:eastAsia="zh-CN" w:bidi="ar-SA"/>
              </w:rPr>
              <w:t>66552</w:t>
            </w:r>
            <w:r>
              <w:rPr>
                <w:rFonts w:hint="default" w:ascii="Times New Roman" w:hAnsi="Times New Roman" w:eastAsia="宋体" w:cs="Times New Roman"/>
                <w:kern w:val="2"/>
                <w:sz w:val="24"/>
                <w:szCs w:val="24"/>
                <w:highlight w:val="none"/>
                <w:lang w:val="en-US" w:eastAsia="zh-CN" w:bidi="ar-SA"/>
              </w:rPr>
              <w:t>m</w:t>
            </w:r>
            <w:r>
              <w:rPr>
                <w:rFonts w:hint="default" w:ascii="Times New Roman" w:hAnsi="Times New Roman" w:eastAsia="宋体" w:cs="Times New Roman"/>
                <w:kern w:val="2"/>
                <w:sz w:val="24"/>
                <w:szCs w:val="24"/>
                <w:highlight w:val="none"/>
                <w:vertAlign w:val="superscript"/>
                <w:lang w:val="en-US" w:eastAsia="zh-CN" w:bidi="ar-SA"/>
              </w:rPr>
              <w:t>2</w:t>
            </w:r>
            <w:r>
              <w:rPr>
                <w:rFonts w:hint="default" w:ascii="Times New Roman" w:hAnsi="Times New Roman" w:eastAsia="宋体" w:cs="Times New Roman"/>
                <w:kern w:val="2"/>
                <w:sz w:val="24"/>
                <w:szCs w:val="24"/>
                <w:highlight w:val="none"/>
                <w:lang w:val="en-US" w:eastAsia="zh-CN" w:bidi="ar-SA"/>
              </w:rPr>
              <w:t>，主要建设内容包括土建工程建设、生产设备的购置。土建内容包括生产车间、</w:t>
            </w:r>
            <w:r>
              <w:rPr>
                <w:rFonts w:hint="eastAsia" w:ascii="Times New Roman" w:hAnsi="Times New Roman" w:eastAsia="宋体" w:cs="Times New Roman"/>
                <w:kern w:val="2"/>
                <w:sz w:val="24"/>
                <w:szCs w:val="24"/>
                <w:highlight w:val="none"/>
                <w:lang w:val="en-US" w:eastAsia="zh-CN" w:bidi="ar-SA"/>
              </w:rPr>
              <w:t>搅拌车间、工具</w:t>
            </w:r>
            <w:r>
              <w:rPr>
                <w:rFonts w:hint="default" w:ascii="Times New Roman" w:hAnsi="Times New Roman" w:eastAsia="宋体" w:cs="Times New Roman"/>
                <w:kern w:val="2"/>
                <w:sz w:val="24"/>
                <w:szCs w:val="24"/>
                <w:highlight w:val="none"/>
                <w:lang w:val="en-US" w:eastAsia="zh-CN" w:bidi="ar-SA"/>
              </w:rPr>
              <w:t>库房、办公楼、</w:t>
            </w:r>
            <w:r>
              <w:rPr>
                <w:rFonts w:hint="eastAsia" w:ascii="Times New Roman" w:hAnsi="Times New Roman" w:eastAsia="宋体" w:cs="Times New Roman"/>
                <w:kern w:val="2"/>
                <w:sz w:val="24"/>
                <w:szCs w:val="24"/>
                <w:highlight w:val="none"/>
                <w:lang w:val="en-US" w:eastAsia="zh-CN" w:bidi="ar-SA"/>
              </w:rPr>
              <w:t>门卫室</w:t>
            </w:r>
            <w:r>
              <w:rPr>
                <w:rFonts w:hint="default" w:ascii="Times New Roman" w:hAnsi="Times New Roman" w:eastAsia="宋体" w:cs="Times New Roman"/>
                <w:kern w:val="2"/>
                <w:sz w:val="24"/>
                <w:szCs w:val="24"/>
                <w:highlight w:val="none"/>
                <w:lang w:val="en-US" w:eastAsia="zh-CN" w:bidi="ar-SA"/>
              </w:rPr>
              <w:t>、</w:t>
            </w:r>
            <w:r>
              <w:rPr>
                <w:rFonts w:hint="eastAsia" w:ascii="Times New Roman" w:hAnsi="Times New Roman" w:eastAsia="宋体" w:cs="Times New Roman"/>
                <w:kern w:val="2"/>
                <w:sz w:val="24"/>
                <w:szCs w:val="24"/>
                <w:highlight w:val="none"/>
                <w:lang w:val="en-US" w:eastAsia="zh-CN" w:bidi="ar-SA"/>
              </w:rPr>
              <w:t>地磅房</w:t>
            </w:r>
            <w:r>
              <w:rPr>
                <w:rFonts w:hint="default" w:ascii="Times New Roman" w:hAnsi="Times New Roman" w:eastAsia="宋体" w:cs="Times New Roman"/>
                <w:kern w:val="2"/>
                <w:sz w:val="24"/>
                <w:szCs w:val="24"/>
                <w:highlight w:val="none"/>
                <w:lang w:val="en-US" w:eastAsia="zh-CN" w:bidi="ar-SA"/>
              </w:rPr>
              <w:t>、堆场</w:t>
            </w:r>
            <w:r>
              <w:rPr>
                <w:rFonts w:hint="eastAsia" w:ascii="Times New Roman" w:hAnsi="Times New Roman" w:eastAsia="宋体" w:cs="Times New Roman"/>
                <w:kern w:val="2"/>
                <w:sz w:val="24"/>
                <w:szCs w:val="24"/>
                <w:highlight w:val="none"/>
                <w:lang w:val="en-US" w:eastAsia="zh-CN" w:bidi="ar-SA"/>
              </w:rPr>
              <w:t>、原料仓</w:t>
            </w:r>
            <w:r>
              <w:rPr>
                <w:rFonts w:hint="default" w:ascii="Times New Roman" w:hAnsi="Times New Roman" w:eastAsia="宋体" w:cs="Times New Roman"/>
                <w:kern w:val="2"/>
                <w:sz w:val="24"/>
                <w:szCs w:val="24"/>
                <w:highlight w:val="none"/>
                <w:lang w:val="en-US" w:eastAsia="zh-CN" w:bidi="ar-SA"/>
              </w:rPr>
              <w:t>及其他配套工程。</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项目生产规模为：</w:t>
            </w:r>
            <w:r>
              <w:rPr>
                <w:rFonts w:hint="eastAsia"/>
                <w:color w:val="auto"/>
                <w:sz w:val="24"/>
                <w:highlight w:val="none"/>
                <w:lang w:val="en-US" w:eastAsia="zh-CN"/>
              </w:rPr>
              <w:t>年产100</w:t>
            </w:r>
            <w:r>
              <w:rPr>
                <w:color w:val="auto"/>
                <w:sz w:val="24"/>
                <w:highlight w:val="none"/>
              </w:rPr>
              <w:t>万m</w:t>
            </w:r>
            <w:r>
              <w:rPr>
                <w:color w:val="auto"/>
                <w:sz w:val="24"/>
                <w:highlight w:val="none"/>
                <w:vertAlign w:val="superscript"/>
              </w:rPr>
              <w:t>2</w:t>
            </w:r>
            <w:r>
              <w:rPr>
                <w:rFonts w:hint="eastAsia"/>
                <w:color w:val="auto"/>
                <w:sz w:val="24"/>
                <w:highlight w:val="none"/>
              </w:rPr>
              <w:t>复合免拆保温模板</w:t>
            </w:r>
            <w:r>
              <w:rPr>
                <w:color w:val="auto"/>
                <w:sz w:val="24"/>
                <w:highlight w:val="none"/>
              </w:rPr>
              <w:t>、</w:t>
            </w:r>
            <w:r>
              <w:rPr>
                <w:rFonts w:hint="eastAsia"/>
                <w:color w:val="auto"/>
                <w:sz w:val="24"/>
                <w:highlight w:val="none"/>
                <w:lang w:val="en-US" w:eastAsia="zh-CN"/>
              </w:rPr>
              <w:t>100</w:t>
            </w:r>
            <w:r>
              <w:rPr>
                <w:color w:val="auto"/>
                <w:sz w:val="24"/>
                <w:highlight w:val="none"/>
              </w:rPr>
              <w:t>万m</w:t>
            </w:r>
            <w:r>
              <w:rPr>
                <w:color w:val="auto"/>
                <w:sz w:val="24"/>
                <w:highlight w:val="none"/>
                <w:vertAlign w:val="superscript"/>
              </w:rPr>
              <w:t>2</w:t>
            </w:r>
            <w:r>
              <w:rPr>
                <w:color w:val="auto"/>
                <w:sz w:val="24"/>
                <w:highlight w:val="none"/>
              </w:rPr>
              <w:t>叠合楼板、PC构件</w:t>
            </w:r>
            <w:r>
              <w:rPr>
                <w:rFonts w:hint="eastAsia"/>
                <w:color w:val="auto"/>
                <w:sz w:val="24"/>
                <w:highlight w:val="none"/>
                <w:lang w:val="en-US" w:eastAsia="zh-CN"/>
              </w:rPr>
              <w:t>5</w:t>
            </w:r>
            <w:r>
              <w:rPr>
                <w:color w:val="auto"/>
                <w:sz w:val="24"/>
                <w:highlight w:val="none"/>
              </w:rPr>
              <w:t>万m</w:t>
            </w:r>
            <w:r>
              <w:rPr>
                <w:rFonts w:hint="eastAsia"/>
                <w:color w:val="auto"/>
                <w:sz w:val="24"/>
                <w:highlight w:val="none"/>
                <w:vertAlign w:val="superscript"/>
              </w:rPr>
              <w:t>3</w:t>
            </w:r>
            <w:r>
              <w:rPr>
                <w:color w:val="auto"/>
                <w:sz w:val="24"/>
                <w:highlight w:val="none"/>
              </w:rPr>
              <w:t>、商品混凝土</w:t>
            </w:r>
            <w:r>
              <w:rPr>
                <w:rFonts w:hint="eastAsia"/>
                <w:color w:val="auto"/>
                <w:sz w:val="24"/>
                <w:highlight w:val="none"/>
                <w:lang w:val="en-US" w:eastAsia="zh-CN"/>
              </w:rPr>
              <w:t>95</w:t>
            </w:r>
            <w:r>
              <w:rPr>
                <w:color w:val="auto"/>
                <w:sz w:val="24"/>
                <w:highlight w:val="none"/>
              </w:rPr>
              <w:t>万m</w:t>
            </w:r>
            <w:r>
              <w:rPr>
                <w:color w:val="auto"/>
                <w:sz w:val="24"/>
                <w:highlight w:val="none"/>
                <w:vertAlign w:val="superscript"/>
              </w:rPr>
              <w:t>3</w:t>
            </w:r>
            <w:r>
              <w:rPr>
                <w:rFonts w:hint="eastAsia"/>
                <w:color w:val="auto"/>
                <w:sz w:val="24"/>
                <w:highlight w:val="none"/>
                <w:vertAlign w:val="baseline"/>
                <w:lang w:eastAsia="zh-CN"/>
              </w:rPr>
              <w:t>，</w:t>
            </w:r>
            <w:r>
              <w:rPr>
                <w:rFonts w:hint="default" w:ascii="Times New Roman" w:hAnsi="Times New Roman" w:eastAsia="宋体" w:cs="Times New Roman"/>
                <w:kern w:val="2"/>
                <w:sz w:val="24"/>
                <w:szCs w:val="24"/>
                <w:highlight w:val="none"/>
                <w:lang w:val="en-US" w:eastAsia="zh-CN" w:bidi="ar-SA"/>
              </w:rPr>
              <w:t>项目总投资</w:t>
            </w:r>
            <w:r>
              <w:rPr>
                <w:rFonts w:hint="eastAsia" w:ascii="Times New Roman" w:hAnsi="Times New Roman" w:eastAsia="宋体" w:cs="Times New Roman"/>
                <w:kern w:val="2"/>
                <w:sz w:val="24"/>
                <w:szCs w:val="24"/>
                <w:highlight w:val="none"/>
                <w:lang w:val="en-US" w:eastAsia="zh-CN" w:bidi="ar-SA"/>
              </w:rPr>
              <w:t>10000</w:t>
            </w:r>
            <w:r>
              <w:rPr>
                <w:rFonts w:hint="default" w:ascii="Times New Roman" w:hAnsi="Times New Roman" w:eastAsia="宋体" w:cs="Times New Roman"/>
                <w:kern w:val="2"/>
                <w:sz w:val="24"/>
                <w:szCs w:val="24"/>
                <w:highlight w:val="none"/>
                <w:lang w:val="en-US" w:eastAsia="zh-CN" w:bidi="ar-SA"/>
              </w:rPr>
              <w:t>万元，环保投资为</w:t>
            </w:r>
            <w:r>
              <w:rPr>
                <w:rFonts w:hint="eastAsia" w:ascii="Times New Roman" w:hAnsi="Times New Roman" w:eastAsia="宋体" w:cs="Times New Roman"/>
                <w:kern w:val="2"/>
                <w:sz w:val="24"/>
                <w:szCs w:val="24"/>
                <w:highlight w:val="none"/>
                <w:lang w:val="en-US" w:eastAsia="zh-CN" w:bidi="ar-SA"/>
              </w:rPr>
              <w:t>125</w:t>
            </w:r>
            <w:r>
              <w:rPr>
                <w:rFonts w:hint="default" w:ascii="Times New Roman" w:hAnsi="Times New Roman" w:eastAsia="宋体" w:cs="Times New Roman"/>
                <w:kern w:val="2"/>
                <w:sz w:val="24"/>
                <w:szCs w:val="24"/>
                <w:highlight w:val="none"/>
                <w:lang w:val="en-US" w:eastAsia="zh-CN" w:bidi="ar-SA"/>
              </w:rPr>
              <w:t>万元，占总投资的1.</w:t>
            </w:r>
            <w:r>
              <w:rPr>
                <w:rFonts w:hint="eastAsia" w:ascii="Times New Roman" w:hAnsi="Times New Roman" w:eastAsia="宋体" w:cs="Times New Roman"/>
                <w:kern w:val="2"/>
                <w:sz w:val="24"/>
                <w:szCs w:val="24"/>
                <w:highlight w:val="none"/>
                <w:lang w:val="en-US" w:eastAsia="zh-CN" w:bidi="ar-SA"/>
              </w:rPr>
              <w:t>25</w:t>
            </w:r>
            <w:r>
              <w:rPr>
                <w:rFonts w:hint="default" w:ascii="Times New Roman" w:hAnsi="Times New Roman" w:eastAsia="宋体" w:cs="Times New Roman"/>
                <w:kern w:val="2"/>
                <w:sz w:val="24"/>
                <w:szCs w:val="24"/>
                <w:highlight w:val="none"/>
                <w:lang w:val="en-US" w:eastAsia="zh-CN" w:bidi="ar-SA"/>
              </w:rPr>
              <w:t>%。</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2" w:firstLineChars="200"/>
              <w:textAlignment w:val="auto"/>
              <w:rPr>
                <w:rFonts w:hint="default" w:ascii="Times New Roman" w:hAnsi="Times New Roman" w:eastAsia="宋体" w:cs="Times New Roman"/>
                <w:b/>
                <w:bCs/>
                <w:kern w:val="2"/>
                <w:sz w:val="24"/>
                <w:szCs w:val="24"/>
                <w:highlight w:val="none"/>
                <w:lang w:val="en-US" w:eastAsia="zh-CN" w:bidi="ar-SA"/>
              </w:rPr>
            </w:pPr>
            <w:r>
              <w:rPr>
                <w:rFonts w:hint="default" w:ascii="Times New Roman" w:hAnsi="Times New Roman" w:eastAsia="宋体" w:cs="Times New Roman"/>
                <w:b/>
                <w:bCs/>
                <w:kern w:val="2"/>
                <w:sz w:val="24"/>
                <w:szCs w:val="24"/>
                <w:highlight w:val="none"/>
                <w:lang w:val="en-US" w:eastAsia="zh-CN" w:bidi="ar-SA"/>
              </w:rPr>
              <w:t>2环境现状评</w:t>
            </w:r>
            <w:r>
              <w:rPr>
                <w:rFonts w:hint="eastAsia" w:ascii="Times New Roman" w:hAnsi="Times New Roman" w:eastAsia="宋体" w:cs="Times New Roman"/>
                <w:b/>
                <w:bCs/>
                <w:kern w:val="2"/>
                <w:sz w:val="24"/>
                <w:szCs w:val="24"/>
                <w:highlight w:val="none"/>
                <w:lang w:val="en-US" w:eastAsia="zh-CN" w:bidi="ar-SA"/>
              </w:rPr>
              <w:t>价</w:t>
            </w:r>
            <w:r>
              <w:rPr>
                <w:rFonts w:hint="default" w:ascii="Times New Roman" w:hAnsi="Times New Roman" w:eastAsia="宋体" w:cs="Times New Roman"/>
                <w:b/>
                <w:bCs/>
                <w:kern w:val="2"/>
                <w:sz w:val="24"/>
                <w:szCs w:val="24"/>
                <w:highlight w:val="none"/>
                <w:lang w:val="en-US" w:eastAsia="zh-CN" w:bidi="ar-SA"/>
              </w:rPr>
              <w:t>结论</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（1）环境空气质量现状评价结论</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评价区域大气环境中 SO</w:t>
            </w:r>
            <w:r>
              <w:rPr>
                <w:rFonts w:hint="default" w:ascii="Times New Roman" w:hAnsi="Times New Roman" w:eastAsia="宋体" w:cs="Times New Roman"/>
                <w:kern w:val="2"/>
                <w:sz w:val="24"/>
                <w:szCs w:val="24"/>
                <w:highlight w:val="none"/>
                <w:vertAlign w:val="subscript"/>
                <w:lang w:val="en-US" w:eastAsia="zh-CN" w:bidi="ar-SA"/>
              </w:rPr>
              <w:t>2</w:t>
            </w:r>
            <w:r>
              <w:rPr>
                <w:rFonts w:hint="default" w:ascii="Times New Roman" w:hAnsi="Times New Roman" w:eastAsia="宋体" w:cs="Times New Roman"/>
                <w:kern w:val="2"/>
                <w:sz w:val="24"/>
                <w:szCs w:val="24"/>
                <w:highlight w:val="none"/>
                <w:lang w:val="en-US" w:eastAsia="zh-CN" w:bidi="ar-SA"/>
              </w:rPr>
              <w:t>、NO</w:t>
            </w:r>
            <w:r>
              <w:rPr>
                <w:rFonts w:hint="default" w:ascii="Times New Roman" w:hAnsi="Times New Roman" w:eastAsia="宋体" w:cs="Times New Roman"/>
                <w:kern w:val="2"/>
                <w:sz w:val="24"/>
                <w:szCs w:val="24"/>
                <w:highlight w:val="none"/>
                <w:vertAlign w:val="subscript"/>
                <w:lang w:val="en-US" w:eastAsia="zh-CN" w:bidi="ar-SA"/>
              </w:rPr>
              <w:t>2</w:t>
            </w:r>
            <w:r>
              <w:rPr>
                <w:rFonts w:hint="default" w:ascii="Times New Roman" w:hAnsi="Times New Roman" w:eastAsia="宋体" w:cs="Times New Roman"/>
                <w:kern w:val="2"/>
                <w:sz w:val="24"/>
                <w:szCs w:val="24"/>
                <w:highlight w:val="none"/>
                <w:lang w:val="en-US" w:eastAsia="zh-CN" w:bidi="ar-SA"/>
              </w:rPr>
              <w:t>、TSP污染物日均值单项污染指数均小于1。监测点SO</w:t>
            </w:r>
            <w:r>
              <w:rPr>
                <w:rFonts w:hint="default" w:ascii="Times New Roman" w:hAnsi="Times New Roman" w:eastAsia="宋体" w:cs="Times New Roman"/>
                <w:kern w:val="2"/>
                <w:sz w:val="24"/>
                <w:szCs w:val="24"/>
                <w:highlight w:val="none"/>
                <w:vertAlign w:val="subscript"/>
                <w:lang w:val="en-US" w:eastAsia="zh-CN" w:bidi="ar-SA"/>
              </w:rPr>
              <w:t>2</w:t>
            </w:r>
            <w:r>
              <w:rPr>
                <w:rFonts w:hint="default" w:ascii="Times New Roman" w:hAnsi="Times New Roman" w:eastAsia="宋体" w:cs="Times New Roman"/>
                <w:kern w:val="2"/>
                <w:sz w:val="24"/>
                <w:szCs w:val="24"/>
                <w:highlight w:val="none"/>
                <w:lang w:val="en-US" w:eastAsia="zh-CN" w:bidi="ar-SA"/>
              </w:rPr>
              <w:t>、NOz在监测期间的日均浓度全部满足《环境空气质量标准》（GB3095-2012）中的二级标准日均浓度限值，TSP满足《环境空气质量标准》（GB3095-2012）中的二级标准日均浓度限值，由此可见，项目区周围大气环境质量良好。</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由单项污染指数评价可以看出，区域环境空气中各污染指数占标率为Itsp&gt; Ino2&gt;Iso2，主要大气污染物为TSP。导致TSP占标率较大的主要原因是区域干旱缺水、植被稀疏、地表干燥易起尘，受自然因素的影响比较明显。</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（2）地表水环境质量现状评价结论</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highlight w:val="none"/>
                <w:lang w:val="en-US" w:eastAsia="zh-CN" w:bidi="ar-SA"/>
              </w:rPr>
            </w:pPr>
            <w:r>
              <w:rPr>
                <w:rFonts w:ascii="宋体" w:cs="宋体"/>
                <w:color w:val="auto"/>
                <w:sz w:val="24"/>
              </w:rPr>
              <w:t>本项目生活废水排入</w:t>
            </w:r>
            <w:r>
              <w:rPr>
                <w:rFonts w:hint="eastAsia" w:ascii="宋体" w:cs="宋体"/>
                <w:color w:val="auto"/>
                <w:sz w:val="24"/>
                <w:lang w:val="en-US" w:eastAsia="zh-CN"/>
              </w:rPr>
              <w:t>巴州洁源排水有限公司（库尔勒经济技术开发区工业废水处理回用厂）</w:t>
            </w:r>
            <w:r>
              <w:rPr>
                <w:rFonts w:ascii="宋体" w:cs="宋体"/>
                <w:color w:val="auto"/>
                <w:sz w:val="24"/>
              </w:rPr>
              <w:t>，属于间接排放，根据《环境影响评价技术导则 地表水环境》（HJ2.3-2018），本项目地表水评价等级为三级B</w:t>
            </w:r>
            <w:r>
              <w:rPr>
                <w:rFonts w:hint="eastAsia" w:ascii="宋体" w:cs="宋体"/>
                <w:color w:val="auto"/>
                <w:sz w:val="24"/>
                <w:lang w:eastAsia="zh-CN"/>
              </w:rPr>
              <w:t>，</w:t>
            </w:r>
            <w:r>
              <w:rPr>
                <w:rFonts w:hint="default" w:ascii="Times New Roman" w:hAnsi="Times New Roman" w:eastAsia="宋体" w:cs="Times New Roman"/>
                <w:kern w:val="2"/>
                <w:sz w:val="24"/>
                <w:szCs w:val="24"/>
                <w:highlight w:val="none"/>
                <w:lang w:val="en-US" w:eastAsia="zh-CN" w:bidi="ar-SA"/>
              </w:rPr>
              <w:t>评价区域地表水3个监测点水质监测项目所有指标均能满足《地表水环境质量标准》（GB3838-2002）的Ш类标准要求</w:t>
            </w:r>
            <w:r>
              <w:rPr>
                <w:rFonts w:hint="eastAsia" w:ascii="Times New Roman" w:hAnsi="Times New Roman" w:eastAsia="宋体" w:cs="Times New Roman"/>
                <w:kern w:val="2"/>
                <w:sz w:val="24"/>
                <w:szCs w:val="24"/>
                <w:highlight w:val="none"/>
                <w:lang w:val="en-US" w:eastAsia="zh-CN" w:bidi="ar-SA"/>
              </w:rPr>
              <w:t>。</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（3）地下水环境质量现状评价结论</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FF"/>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评价区域地下水监测点各水质监测项目指标均能满足《地下水质量标准》（GB/T14848-93）中的</w:t>
            </w:r>
            <w:r>
              <w:rPr>
                <w:rFonts w:hint="eastAsia" w:ascii="Times New Roman" w:hAnsi="Times New Roman" w:eastAsia="宋体" w:cs="Times New Roman"/>
                <w:color w:val="auto"/>
                <w:kern w:val="2"/>
                <w:sz w:val="24"/>
                <w:szCs w:val="24"/>
                <w:highlight w:val="none"/>
                <w:lang w:val="en-US" w:eastAsia="zh-CN" w:bidi="ar-SA"/>
              </w:rPr>
              <w:t>III</w:t>
            </w:r>
            <w:r>
              <w:rPr>
                <w:rFonts w:hint="default" w:ascii="Times New Roman" w:hAnsi="Times New Roman" w:eastAsia="宋体" w:cs="Times New Roman"/>
                <w:color w:val="auto"/>
                <w:kern w:val="2"/>
                <w:sz w:val="24"/>
                <w:szCs w:val="24"/>
                <w:highlight w:val="none"/>
                <w:lang w:val="en-US" w:eastAsia="zh-CN" w:bidi="ar-SA"/>
              </w:rPr>
              <w:t>类标准要求。</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（3）声环境质量现状评价结论</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项目区噪声值较低，厂界四周环境噪声均未超过《声环境质量标准》（GB3096-2008）中3类标准的限值。</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2" w:firstLineChars="200"/>
              <w:textAlignment w:val="auto"/>
              <w:rPr>
                <w:rFonts w:hint="default" w:ascii="Times New Roman" w:hAnsi="Times New Roman" w:eastAsia="宋体" w:cs="Times New Roman"/>
                <w:b/>
                <w:bCs/>
                <w:kern w:val="2"/>
                <w:sz w:val="24"/>
                <w:szCs w:val="24"/>
                <w:highlight w:val="none"/>
                <w:lang w:val="en-US" w:eastAsia="zh-CN" w:bidi="ar-SA"/>
              </w:rPr>
            </w:pPr>
            <w:r>
              <w:rPr>
                <w:rFonts w:hint="default" w:ascii="Times New Roman" w:hAnsi="Times New Roman" w:eastAsia="宋体" w:cs="Times New Roman"/>
                <w:b/>
                <w:bCs/>
                <w:kern w:val="2"/>
                <w:sz w:val="24"/>
                <w:szCs w:val="24"/>
                <w:highlight w:val="none"/>
                <w:lang w:val="en-US" w:eastAsia="zh-CN" w:bidi="ar-SA"/>
              </w:rPr>
              <w:t>3 环境影响分析结论</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（1）大气环境影响分析</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1）本建设项目的</w:t>
            </w:r>
            <w:r>
              <w:rPr>
                <w:rFonts w:hint="eastAsia" w:ascii="Times New Roman" w:hAnsi="Times New Roman" w:eastAsia="宋体" w:cs="Times New Roman"/>
                <w:color w:val="auto"/>
                <w:kern w:val="2"/>
                <w:sz w:val="24"/>
                <w:szCs w:val="24"/>
                <w:highlight w:val="none"/>
                <w:lang w:val="en-US" w:eastAsia="zh-CN" w:bidi="ar-SA"/>
              </w:rPr>
              <w:t>工艺废气</w:t>
            </w:r>
            <w:r>
              <w:rPr>
                <w:rFonts w:hint="default" w:ascii="Times New Roman" w:hAnsi="Times New Roman" w:eastAsia="宋体" w:cs="Times New Roman"/>
                <w:color w:val="auto"/>
                <w:kern w:val="2"/>
                <w:sz w:val="24"/>
                <w:szCs w:val="24"/>
                <w:highlight w:val="none"/>
                <w:lang w:val="en-US" w:eastAsia="zh-CN" w:bidi="ar-SA"/>
              </w:rPr>
              <w:t>主要是</w:t>
            </w:r>
            <w:r>
              <w:rPr>
                <w:rFonts w:hint="eastAsia" w:cs="Times New Roman"/>
                <w:color w:val="auto"/>
                <w:kern w:val="2"/>
                <w:sz w:val="24"/>
                <w:szCs w:val="24"/>
                <w:highlight w:val="none"/>
                <w:lang w:val="en-US" w:eastAsia="zh-CN" w:bidi="ar-SA"/>
              </w:rPr>
              <w:t>8</w:t>
            </w:r>
            <w:r>
              <w:rPr>
                <w:rFonts w:hint="eastAsia" w:ascii="Times New Roman" w:hAnsi="Times New Roman" w:eastAsia="宋体" w:cs="Times New Roman"/>
                <w:color w:val="auto"/>
                <w:kern w:val="2"/>
                <w:sz w:val="24"/>
                <w:szCs w:val="24"/>
                <w:highlight w:val="none"/>
                <w:lang w:val="en-US" w:eastAsia="zh-CN" w:bidi="ar-SA"/>
              </w:rPr>
              <w:t>个原料筒仓在原料经气力输送泵输送至筒仓时，筒仓顶部呼吸孔产生的粉尘。粉尘经各自仓顶配套的布袋除尘器处理后</w:t>
            </w:r>
            <w:r>
              <w:rPr>
                <w:rFonts w:hint="eastAsia" w:cs="Times New Roman"/>
                <w:color w:val="auto"/>
                <w:kern w:val="2"/>
                <w:sz w:val="24"/>
                <w:szCs w:val="24"/>
                <w:highlight w:val="none"/>
                <w:lang w:val="en-US" w:eastAsia="zh-CN" w:bidi="ar-SA"/>
              </w:rPr>
              <w:t>在密闭车间内以无组织的形式自然</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本项目</w:t>
            </w:r>
            <w:r>
              <w:rPr>
                <w:rFonts w:hint="eastAsia" w:ascii="Times New Roman" w:hAnsi="Times New Roman" w:eastAsia="宋体" w:cs="Times New Roman"/>
                <w:color w:val="auto"/>
                <w:kern w:val="2"/>
                <w:sz w:val="24"/>
                <w:szCs w:val="24"/>
                <w:highlight w:val="none"/>
                <w:lang w:val="en-US" w:eastAsia="zh-CN" w:bidi="ar-SA"/>
              </w:rPr>
              <w:t>颗粒物</w:t>
            </w:r>
            <w:r>
              <w:rPr>
                <w:rFonts w:hint="default" w:ascii="Times New Roman" w:hAnsi="Times New Roman" w:eastAsia="宋体" w:cs="Times New Roman"/>
                <w:color w:val="auto"/>
                <w:kern w:val="2"/>
                <w:sz w:val="24"/>
                <w:szCs w:val="24"/>
                <w:highlight w:val="none"/>
                <w:lang w:val="en-US" w:eastAsia="zh-CN" w:bidi="ar-SA"/>
              </w:rPr>
              <w:t>年产生量为</w:t>
            </w:r>
            <w:r>
              <w:rPr>
                <w:rFonts w:hint="eastAsia" w:ascii="Times New Roman" w:hAnsi="Times New Roman" w:eastAsia="宋体" w:cs="Times New Roman"/>
                <w:color w:val="auto"/>
                <w:kern w:val="2"/>
                <w:sz w:val="24"/>
                <w:szCs w:val="24"/>
                <w:highlight w:val="none"/>
                <w:lang w:val="en-US" w:eastAsia="zh-CN" w:bidi="ar-SA"/>
              </w:rPr>
              <w:t>771.945</w:t>
            </w:r>
            <w:r>
              <w:rPr>
                <w:rFonts w:hint="default" w:ascii="Times New Roman" w:hAnsi="Times New Roman" w:eastAsia="宋体" w:cs="Times New Roman"/>
                <w:color w:val="auto"/>
                <w:kern w:val="2"/>
                <w:sz w:val="24"/>
                <w:szCs w:val="24"/>
                <w:highlight w:val="none"/>
                <w:lang w:val="en-US" w:eastAsia="zh-CN" w:bidi="ar-SA"/>
              </w:rPr>
              <w:t>t/a，</w:t>
            </w:r>
            <w:r>
              <w:rPr>
                <w:rFonts w:hint="eastAsia" w:ascii="Times New Roman" w:hAnsi="Times New Roman" w:eastAsia="宋体" w:cs="Times New Roman"/>
                <w:color w:val="auto"/>
                <w:kern w:val="2"/>
                <w:sz w:val="24"/>
                <w:szCs w:val="24"/>
                <w:highlight w:val="none"/>
                <w:lang w:val="en-US" w:eastAsia="zh-CN" w:bidi="ar-SA"/>
              </w:rPr>
              <w:t>颗粒物</w:t>
            </w:r>
            <w:r>
              <w:rPr>
                <w:rFonts w:hint="default" w:ascii="Times New Roman" w:hAnsi="Times New Roman" w:eastAsia="宋体" w:cs="Times New Roman"/>
                <w:color w:val="auto"/>
                <w:kern w:val="2"/>
                <w:sz w:val="24"/>
                <w:szCs w:val="24"/>
                <w:highlight w:val="none"/>
                <w:lang w:val="en-US" w:eastAsia="zh-CN" w:bidi="ar-SA"/>
              </w:rPr>
              <w:t>的产生浓度约200mg/m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；经除尘器处理后，本项目</w:t>
            </w:r>
            <w:r>
              <w:rPr>
                <w:rFonts w:hint="eastAsia" w:ascii="Times New Roman" w:hAnsi="Times New Roman" w:eastAsia="宋体" w:cs="Times New Roman"/>
                <w:color w:val="auto"/>
                <w:kern w:val="2"/>
                <w:sz w:val="24"/>
                <w:szCs w:val="24"/>
                <w:highlight w:val="none"/>
                <w:lang w:val="en-US" w:eastAsia="zh-CN" w:bidi="ar-SA"/>
              </w:rPr>
              <w:t>颗粒物</w:t>
            </w:r>
            <w:r>
              <w:rPr>
                <w:rFonts w:hint="default" w:ascii="Times New Roman" w:hAnsi="Times New Roman" w:eastAsia="宋体" w:cs="Times New Roman"/>
                <w:color w:val="auto"/>
                <w:kern w:val="2"/>
                <w:sz w:val="24"/>
                <w:szCs w:val="24"/>
                <w:highlight w:val="none"/>
                <w:lang w:val="en-US" w:eastAsia="zh-CN" w:bidi="ar-SA"/>
              </w:rPr>
              <w:t>排放量约</w:t>
            </w:r>
            <w:r>
              <w:rPr>
                <w:rFonts w:hint="eastAsia" w:ascii="Times New Roman" w:hAnsi="Times New Roman" w:eastAsia="宋体" w:cs="Times New Roman"/>
                <w:color w:val="auto"/>
                <w:kern w:val="2"/>
                <w:sz w:val="24"/>
                <w:szCs w:val="24"/>
                <w:highlight w:val="none"/>
                <w:lang w:val="en-US" w:eastAsia="zh-CN" w:bidi="ar-SA"/>
              </w:rPr>
              <w:t>6.16</w:t>
            </w:r>
            <w:r>
              <w:rPr>
                <w:rFonts w:hint="default" w:ascii="Times New Roman" w:hAnsi="Times New Roman" w:eastAsia="宋体" w:cs="Times New Roman"/>
                <w:color w:val="auto"/>
                <w:kern w:val="2"/>
                <w:sz w:val="24"/>
                <w:szCs w:val="24"/>
                <w:highlight w:val="none"/>
                <w:lang w:val="en-US" w:eastAsia="zh-CN" w:bidi="ar-SA"/>
              </w:rPr>
              <w:t>t/a，排放浓度为30mg/m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，达到《</w:t>
            </w:r>
            <w:r>
              <w:rPr>
                <w:rFonts w:hint="eastAsia" w:ascii="Times New Roman" w:hAnsi="Times New Roman" w:eastAsia="宋体" w:cs="Times New Roman"/>
                <w:color w:val="auto"/>
                <w:kern w:val="2"/>
                <w:sz w:val="24"/>
                <w:szCs w:val="24"/>
                <w:highlight w:val="none"/>
                <w:lang w:val="en-US" w:eastAsia="zh-CN" w:bidi="ar-SA"/>
              </w:rPr>
              <w:t>水泥工业大气污染物排放标准</w:t>
            </w:r>
            <w:r>
              <w:rPr>
                <w:rFonts w:hint="default" w:ascii="Times New Roman" w:hAnsi="Times New Roman" w:eastAsia="宋体" w:cs="Times New Roman"/>
                <w:color w:val="auto"/>
                <w:kern w:val="2"/>
                <w:sz w:val="24"/>
                <w:szCs w:val="24"/>
                <w:highlight w:val="none"/>
                <w:lang w:val="en-US" w:eastAsia="zh-CN" w:bidi="ar-SA"/>
              </w:rPr>
              <w:t>》（GB</w:t>
            </w:r>
            <w:r>
              <w:rPr>
                <w:rFonts w:hint="eastAsia" w:ascii="Times New Roman" w:hAnsi="Times New Roman" w:eastAsia="宋体" w:cs="Times New Roman"/>
                <w:color w:val="auto"/>
                <w:kern w:val="2"/>
                <w:sz w:val="24"/>
                <w:szCs w:val="24"/>
                <w:highlight w:val="none"/>
                <w:lang w:val="en-US" w:eastAsia="zh-CN" w:bidi="ar-SA"/>
              </w:rPr>
              <w:t>4915</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2013</w:t>
            </w:r>
            <w:r>
              <w:rPr>
                <w:rFonts w:hint="default" w:ascii="Times New Roman" w:hAnsi="Times New Roman" w:eastAsia="宋体" w:cs="Times New Roman"/>
                <w:color w:val="auto"/>
                <w:kern w:val="2"/>
                <w:sz w:val="24"/>
                <w:szCs w:val="24"/>
                <w:highlight w:val="none"/>
                <w:lang w:val="en-US" w:eastAsia="zh-CN" w:bidi="ar-SA"/>
              </w:rPr>
              <w:t>）表2中</w:t>
            </w:r>
            <w:r>
              <w:rPr>
                <w:rFonts w:hint="eastAsia" w:ascii="Times New Roman" w:hAnsi="Times New Roman" w:eastAsia="宋体" w:cs="Times New Roman"/>
                <w:color w:val="auto"/>
                <w:kern w:val="2"/>
                <w:sz w:val="24"/>
                <w:szCs w:val="24"/>
                <w:highlight w:val="none"/>
                <w:lang w:val="en-US" w:eastAsia="zh-CN" w:bidi="ar-SA"/>
              </w:rPr>
              <w:t>的有组织颗粒物排放限值10mg/m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vertAlign w:val="baseli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对周围大气环境影响较小。</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FF0000"/>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为有效减少对操作人员的危害，应加强厂区管理，职工应规范佩戴防尘口罩，以保护呼吸器官，并且应进行定期体检。在日常工作中严格按照操作规程操作定时检查各类设施的运行情况，发现问题及时解决，最大程度减少粉尘无组织排放对周围人群的影响。</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（2）水环境影响分析</w:t>
            </w:r>
          </w:p>
          <w:p>
            <w:pPr>
              <w:spacing w:line="360" w:lineRule="auto"/>
              <w:ind w:firstLine="480" w:firstLineChars="200"/>
              <w:rPr>
                <w:color w:val="auto"/>
                <w:sz w:val="24"/>
              </w:rPr>
            </w:pPr>
            <w:r>
              <w:rPr>
                <w:rFonts w:hint="default" w:ascii="Times New Roman" w:hAnsi="Times New Roman" w:eastAsia="宋体" w:cs="Times New Roman"/>
                <w:kern w:val="2"/>
                <w:sz w:val="24"/>
                <w:szCs w:val="24"/>
                <w:highlight w:val="none"/>
                <w:lang w:val="en-US" w:eastAsia="zh-CN" w:bidi="ar-SA"/>
              </w:rPr>
              <w:t>项目生产工艺</w:t>
            </w:r>
            <w:r>
              <w:rPr>
                <w:rFonts w:hint="eastAsia"/>
                <w:snapToGrid w:val="0"/>
                <w:color w:val="auto"/>
                <w:kern w:val="0"/>
                <w:sz w:val="24"/>
              </w:rPr>
              <w:t>主要包括</w:t>
            </w:r>
            <w:r>
              <w:rPr>
                <w:rFonts w:hint="eastAsia"/>
                <w:snapToGrid w:val="0"/>
                <w:color w:val="auto"/>
                <w:kern w:val="0"/>
                <w:sz w:val="24"/>
                <w:lang w:eastAsia="zh-CN"/>
              </w:rPr>
              <w:t>清洗</w:t>
            </w:r>
            <w:r>
              <w:rPr>
                <w:rFonts w:hint="eastAsia"/>
                <w:snapToGrid w:val="0"/>
                <w:color w:val="auto"/>
                <w:kern w:val="0"/>
                <w:sz w:val="24"/>
              </w:rPr>
              <w:t>用水</w:t>
            </w:r>
            <w:r>
              <w:rPr>
                <w:rFonts w:hint="eastAsia"/>
                <w:snapToGrid w:val="0"/>
                <w:color w:val="auto"/>
                <w:kern w:val="0"/>
                <w:sz w:val="24"/>
                <w:lang w:val="en-US" w:eastAsia="zh-CN"/>
              </w:rPr>
              <w:t>及生活污水。</w:t>
            </w:r>
            <w:r>
              <w:rPr>
                <w:color w:val="auto"/>
                <w:sz w:val="24"/>
              </w:rPr>
              <w:t>生产废水全部回用于生产，不外排，</w:t>
            </w:r>
            <w:r>
              <w:rPr>
                <w:bCs/>
                <w:color w:val="auto"/>
                <w:kern w:val="0"/>
                <w:sz w:val="24"/>
              </w:rPr>
              <w:t>生活污水</w:t>
            </w:r>
            <w:r>
              <w:rPr>
                <w:color w:val="auto"/>
                <w:sz w:val="24"/>
              </w:rPr>
              <w:t>经油水分离器、化粪池预处理达到《污水综合排放标准》（GB8978-1996）</w:t>
            </w:r>
            <w:r>
              <w:rPr>
                <w:color w:val="auto"/>
                <w:kern w:val="0"/>
                <w:sz w:val="24"/>
              </w:rPr>
              <w:t>三级排放标准</w:t>
            </w:r>
            <w:r>
              <w:rPr>
                <w:color w:val="auto"/>
                <w:sz w:val="24"/>
              </w:rPr>
              <w:t>后排入开发区下水管网，最终排入</w:t>
            </w:r>
            <w:r>
              <w:rPr>
                <w:rFonts w:hint="eastAsia"/>
                <w:color w:val="auto"/>
                <w:sz w:val="24"/>
                <w:lang w:val="en-US" w:eastAsia="zh-CN"/>
              </w:rPr>
              <w:t>巴州洁源排水有限公司（库尔勒经济技术开发区工业废水处理回用厂）处理</w:t>
            </w:r>
            <w:r>
              <w:rPr>
                <w:color w:val="auto"/>
                <w:sz w:val="24"/>
              </w:rPr>
              <w:t>。</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（3）声环境影响分析</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highlight w:val="none"/>
                <w:lang w:val="en-US" w:eastAsia="zh-CN" w:bidi="ar-SA"/>
              </w:rPr>
            </w:pPr>
            <w:r>
              <w:rPr>
                <w:color w:val="auto"/>
                <w:sz w:val="24"/>
              </w:rPr>
              <w:t>本项目营运期间噪声主要来自搅拌机、螺旋输送机、切割机生产过程中产生的噪声。搅拌机机型先进，噪声较大；切割机噪声相对较小；螺旋输送机正常运行时的噪声较小，</w:t>
            </w:r>
            <w:r>
              <w:rPr>
                <w:rFonts w:hint="eastAsia"/>
                <w:color w:val="auto"/>
                <w:sz w:val="24"/>
                <w:lang w:eastAsia="zh-CN"/>
              </w:rPr>
              <w:t>但</w:t>
            </w:r>
            <w:r>
              <w:rPr>
                <w:color w:val="auto"/>
                <w:sz w:val="24"/>
              </w:rPr>
              <w:t>因堵料等原因运行不畅时，噪声较大。</w:t>
            </w:r>
            <w:r>
              <w:rPr>
                <w:color w:val="auto"/>
                <w:kern w:val="0"/>
                <w:sz w:val="24"/>
              </w:rPr>
              <w:t>项目主要生产设备布设在搅拌楼内，经采取隔声、减振、降噪处理后</w:t>
            </w:r>
            <w:r>
              <w:rPr>
                <w:color w:val="auto"/>
                <w:sz w:val="24"/>
              </w:rPr>
              <w:t>可以减轻噪声对周围环境的影响</w:t>
            </w:r>
            <w:r>
              <w:rPr>
                <w:rFonts w:hint="default" w:ascii="Times New Roman" w:hAnsi="Times New Roman" w:eastAsia="宋体" w:cs="Times New Roman"/>
                <w:kern w:val="2"/>
                <w:sz w:val="24"/>
                <w:szCs w:val="24"/>
                <w:highlight w:val="none"/>
                <w:lang w:val="en-US" w:eastAsia="zh-CN" w:bidi="ar-SA"/>
              </w:rPr>
              <w:t>。厂界噪声能够满足《工业企业厂界环境噪声排放标准》（GB12348-2008）中3类标准要求，对周围声环境影响很小。</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（4）固体废物影响分析</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kern w:val="2"/>
                <w:sz w:val="24"/>
                <w:szCs w:val="24"/>
                <w:highlight w:val="none"/>
                <w:lang w:val="en-US" w:eastAsia="zh-CN" w:bidi="ar-SA"/>
              </w:rPr>
            </w:pPr>
            <w:r>
              <w:rPr>
                <w:bCs/>
                <w:color w:val="auto"/>
                <w:sz w:val="24"/>
              </w:rPr>
              <w:t>本项目运营期产生的固废主要为生产固废（</w:t>
            </w:r>
            <w:r>
              <w:rPr>
                <w:color w:val="auto"/>
                <w:sz w:val="24"/>
                <w:lang w:val="zh-TW" w:eastAsia="zh-TW"/>
              </w:rPr>
              <w:t>废弃的砂石料</w:t>
            </w:r>
            <w:r>
              <w:rPr>
                <w:color w:val="auto"/>
                <w:sz w:val="24"/>
                <w:lang w:val="zh-TW"/>
              </w:rPr>
              <w:t>、</w:t>
            </w:r>
            <w:r>
              <w:rPr>
                <w:color w:val="auto"/>
                <w:sz w:val="24"/>
              </w:rPr>
              <w:t>生产</w:t>
            </w:r>
            <w:r>
              <w:rPr>
                <w:color w:val="auto"/>
                <w:sz w:val="24"/>
                <w:lang w:val="zh-TW" w:eastAsia="zh-TW"/>
              </w:rPr>
              <w:t>废水</w:t>
            </w:r>
            <w:r>
              <w:rPr>
                <w:rFonts w:hint="eastAsia"/>
                <w:color w:val="auto"/>
                <w:sz w:val="24"/>
                <w:lang w:val="zh-TW"/>
              </w:rPr>
              <w:t>循环水池</w:t>
            </w:r>
            <w:r>
              <w:rPr>
                <w:color w:val="auto"/>
                <w:sz w:val="24"/>
                <w:lang w:val="zh-TW" w:eastAsia="zh-TW"/>
              </w:rPr>
              <w:t>产生的沉淀</w:t>
            </w:r>
            <w:r>
              <w:rPr>
                <w:bCs/>
                <w:color w:val="auto"/>
                <w:sz w:val="24"/>
                <w:lang w:eastAsia="zh-TW"/>
              </w:rPr>
              <w:t>泥沙、</w:t>
            </w:r>
            <w:r>
              <w:rPr>
                <w:rFonts w:hint="eastAsia"/>
                <w:bCs/>
                <w:color w:val="auto"/>
                <w:sz w:val="24"/>
              </w:rPr>
              <w:t>软化水系统废树脂、</w:t>
            </w:r>
            <w:r>
              <w:rPr>
                <w:color w:val="auto"/>
                <w:sz w:val="24"/>
              </w:rPr>
              <w:t>除尘器收集的粉尘以及</w:t>
            </w:r>
            <w:r>
              <w:rPr>
                <w:bCs/>
                <w:color w:val="auto"/>
                <w:sz w:val="24"/>
              </w:rPr>
              <w:t>除尘器废旧滤袋）、生活垃圾</w:t>
            </w:r>
            <w:r>
              <w:rPr>
                <w:rFonts w:hint="eastAsia"/>
                <w:bCs/>
                <w:color w:val="auto"/>
                <w:sz w:val="24"/>
              </w:rPr>
              <w:t>、</w:t>
            </w:r>
            <w:r>
              <w:rPr>
                <w:bCs/>
                <w:color w:val="auto"/>
                <w:sz w:val="24"/>
              </w:rPr>
              <w:t>生活污水化粪池污泥、</w:t>
            </w:r>
            <w:r>
              <w:rPr>
                <w:rFonts w:hint="eastAsia"/>
                <w:bCs/>
                <w:color w:val="auto"/>
                <w:sz w:val="24"/>
              </w:rPr>
              <w:t>废润滑油、废机油</w:t>
            </w:r>
            <w:r>
              <w:rPr>
                <w:bCs/>
                <w:color w:val="auto"/>
                <w:sz w:val="24"/>
              </w:rPr>
              <w:t>等。</w:t>
            </w:r>
            <w:r>
              <w:rPr>
                <w:rFonts w:hint="eastAsia"/>
                <w:bCs/>
                <w:color w:val="auto"/>
                <w:sz w:val="24"/>
                <w:lang w:val="en-US" w:eastAsia="zh-CN"/>
              </w:rPr>
              <w:t>其中</w:t>
            </w:r>
            <w:r>
              <w:rPr>
                <w:rFonts w:hint="default" w:ascii="Times New Roman" w:hAnsi="Times New Roman" w:eastAsia="宋体" w:cs="Times New Roman"/>
                <w:kern w:val="2"/>
                <w:sz w:val="24"/>
                <w:szCs w:val="24"/>
                <w:highlight w:val="none"/>
                <w:lang w:val="en-US" w:eastAsia="zh-CN" w:bidi="ar-SA"/>
              </w:rPr>
              <w:t>，</w:t>
            </w:r>
            <w:r>
              <w:rPr>
                <w:rFonts w:hint="eastAsia" w:ascii="Times New Roman" w:hAnsi="Times New Roman" w:eastAsia="宋体" w:cs="Times New Roman"/>
                <w:kern w:val="2"/>
                <w:sz w:val="24"/>
                <w:szCs w:val="24"/>
                <w:highlight w:val="none"/>
                <w:lang w:val="en-US" w:eastAsia="zh-CN" w:bidi="ar-SA"/>
              </w:rPr>
              <w:t>废弃的砂石料约为77</w:t>
            </w:r>
            <w:r>
              <w:rPr>
                <w:rFonts w:hint="default" w:ascii="Times New Roman" w:hAnsi="Times New Roman" w:eastAsia="宋体" w:cs="Times New Roman"/>
                <w:kern w:val="2"/>
                <w:sz w:val="24"/>
                <w:szCs w:val="24"/>
                <w:highlight w:val="none"/>
                <w:lang w:val="en-US" w:eastAsia="zh-CN" w:bidi="ar-SA"/>
              </w:rPr>
              <w:t>t/a</w:t>
            </w:r>
            <w:r>
              <w:rPr>
                <w:rFonts w:hint="eastAsia" w:ascii="Times New Roman" w:hAnsi="Times New Roman" w:eastAsia="宋体" w:cs="Times New Roman"/>
                <w:kern w:val="2"/>
                <w:sz w:val="24"/>
                <w:szCs w:val="24"/>
                <w:highlight w:val="none"/>
                <w:lang w:val="en-US" w:eastAsia="zh-CN" w:bidi="ar-SA"/>
              </w:rPr>
              <w:t>，循环水池沉淀泥沙约为18</w:t>
            </w:r>
            <w:r>
              <w:rPr>
                <w:rFonts w:hint="default" w:ascii="Times New Roman" w:hAnsi="Times New Roman" w:eastAsia="宋体" w:cs="Times New Roman"/>
                <w:kern w:val="2"/>
                <w:sz w:val="24"/>
                <w:szCs w:val="24"/>
                <w:highlight w:val="none"/>
                <w:lang w:val="en-US" w:eastAsia="zh-CN" w:bidi="ar-SA"/>
              </w:rPr>
              <w:t>t/a</w:t>
            </w:r>
            <w:r>
              <w:rPr>
                <w:rFonts w:hint="eastAsia" w:ascii="Times New Roman" w:hAnsi="Times New Roman" w:eastAsia="宋体" w:cs="Times New Roman"/>
                <w:kern w:val="2"/>
                <w:sz w:val="24"/>
                <w:szCs w:val="24"/>
                <w:highlight w:val="none"/>
                <w:lang w:val="en-US" w:eastAsia="zh-CN" w:bidi="ar-SA"/>
              </w:rPr>
              <w:t>，均集中收集后作为路面铺垫料或地面平整的填料综合利用；除尘器收集的粉尘约为765</w:t>
            </w:r>
            <w:r>
              <w:rPr>
                <w:rFonts w:hint="default" w:ascii="Times New Roman" w:hAnsi="Times New Roman" w:eastAsia="宋体" w:cs="Times New Roman"/>
                <w:kern w:val="2"/>
                <w:sz w:val="24"/>
                <w:szCs w:val="24"/>
                <w:highlight w:val="none"/>
                <w:lang w:val="en-US" w:eastAsia="zh-CN" w:bidi="ar-SA"/>
              </w:rPr>
              <w:t>t/a</w:t>
            </w:r>
            <w:r>
              <w:rPr>
                <w:rFonts w:hint="eastAsia" w:ascii="Times New Roman" w:hAnsi="Times New Roman" w:eastAsia="宋体" w:cs="Times New Roman"/>
                <w:kern w:val="2"/>
                <w:sz w:val="24"/>
                <w:szCs w:val="24"/>
                <w:highlight w:val="none"/>
                <w:lang w:val="en-US" w:eastAsia="zh-CN" w:bidi="ar-SA"/>
              </w:rPr>
              <w:t>，回用于生产；废旧滤袋约为10</w:t>
            </w:r>
            <w:r>
              <w:rPr>
                <w:rFonts w:hint="default" w:ascii="Times New Roman" w:hAnsi="Times New Roman" w:eastAsia="宋体" w:cs="Times New Roman"/>
                <w:kern w:val="2"/>
                <w:sz w:val="24"/>
                <w:szCs w:val="24"/>
                <w:highlight w:val="none"/>
                <w:lang w:val="en-US" w:eastAsia="zh-CN" w:bidi="ar-SA"/>
              </w:rPr>
              <w:t>t/a</w:t>
            </w:r>
            <w:r>
              <w:rPr>
                <w:rFonts w:hint="eastAsia" w:ascii="Times New Roman" w:hAnsi="Times New Roman" w:eastAsia="宋体" w:cs="Times New Roman"/>
                <w:kern w:val="2"/>
                <w:sz w:val="24"/>
                <w:szCs w:val="24"/>
                <w:highlight w:val="none"/>
                <w:lang w:val="en-US" w:eastAsia="zh-CN" w:bidi="ar-SA"/>
              </w:rPr>
              <w:t>和废树脂交由废旧物资回收部门进行处理。</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项目年产生活垃圾1</w:t>
            </w:r>
            <w:r>
              <w:rPr>
                <w:rFonts w:hint="eastAsia" w:ascii="Times New Roman" w:hAnsi="Times New Roman" w:eastAsia="宋体" w:cs="Times New Roman"/>
                <w:kern w:val="2"/>
                <w:sz w:val="24"/>
                <w:szCs w:val="24"/>
                <w:highlight w:val="none"/>
                <w:lang w:val="en-US" w:eastAsia="zh-CN" w:bidi="ar-SA"/>
              </w:rPr>
              <w:t>5</w:t>
            </w:r>
            <w:r>
              <w:rPr>
                <w:rFonts w:hint="default" w:ascii="Times New Roman" w:hAnsi="Times New Roman" w:eastAsia="宋体" w:cs="Times New Roman"/>
                <w:kern w:val="2"/>
                <w:sz w:val="24"/>
                <w:szCs w:val="24"/>
                <w:highlight w:val="none"/>
                <w:lang w:val="en-US" w:eastAsia="zh-CN" w:bidi="ar-SA"/>
              </w:rPr>
              <w:t>t，及时清理，</w:t>
            </w:r>
            <w:r>
              <w:rPr>
                <w:rFonts w:hint="eastAsia" w:ascii="Times New Roman" w:hAnsi="Times New Roman" w:eastAsia="宋体" w:cs="Times New Roman"/>
                <w:kern w:val="2"/>
                <w:sz w:val="24"/>
                <w:szCs w:val="24"/>
                <w:highlight w:val="none"/>
                <w:lang w:val="en-US" w:eastAsia="zh-CN" w:bidi="ar-SA"/>
              </w:rPr>
              <w:t>和化粪池污泥一起</w:t>
            </w:r>
            <w:r>
              <w:rPr>
                <w:rFonts w:hint="default" w:ascii="Times New Roman" w:hAnsi="Times New Roman" w:eastAsia="宋体" w:cs="Times New Roman"/>
                <w:kern w:val="2"/>
                <w:sz w:val="24"/>
                <w:szCs w:val="24"/>
                <w:highlight w:val="none"/>
                <w:lang w:val="en-US" w:eastAsia="zh-CN" w:bidi="ar-SA"/>
              </w:rPr>
              <w:t>交由环卫部门统一清运至当地环卫部门指定垃圾填埋场处理，以最大限度</w:t>
            </w:r>
            <w:r>
              <w:rPr>
                <w:rFonts w:hint="eastAsia" w:ascii="Times New Roman" w:hAnsi="Times New Roman" w:eastAsia="宋体" w:cs="Times New Roman"/>
                <w:kern w:val="2"/>
                <w:sz w:val="24"/>
                <w:szCs w:val="24"/>
                <w:highlight w:val="none"/>
                <w:lang w:val="en-US" w:eastAsia="zh-CN" w:bidi="ar-SA"/>
              </w:rPr>
              <w:t>地</w:t>
            </w:r>
            <w:r>
              <w:rPr>
                <w:rFonts w:hint="default" w:ascii="Times New Roman" w:hAnsi="Times New Roman" w:eastAsia="宋体" w:cs="Times New Roman"/>
                <w:kern w:val="2"/>
                <w:sz w:val="24"/>
                <w:szCs w:val="24"/>
                <w:highlight w:val="none"/>
                <w:lang w:val="en-US" w:eastAsia="zh-CN" w:bidi="ar-SA"/>
              </w:rPr>
              <w:t>减少生活垃圾对环境的影响。</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4 其他分析结论</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（1）选址合理性分析结论</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本项目选址位于</w:t>
            </w:r>
            <w:r>
              <w:rPr>
                <w:rFonts w:hint="eastAsia" w:ascii="Times New Roman" w:hAnsi="Times New Roman" w:eastAsia="宋体" w:cs="Times New Roman"/>
                <w:kern w:val="2"/>
                <w:sz w:val="24"/>
                <w:szCs w:val="24"/>
                <w:highlight w:val="none"/>
                <w:lang w:val="en-US" w:eastAsia="zh-CN" w:bidi="ar-SA"/>
              </w:rPr>
              <w:t>库尔勒经济技术开发区康盛路西侧</w:t>
            </w:r>
            <w:r>
              <w:rPr>
                <w:rFonts w:hint="default" w:ascii="Times New Roman" w:hAnsi="Times New Roman" w:eastAsia="宋体" w:cs="Times New Roman"/>
                <w:kern w:val="2"/>
                <w:sz w:val="24"/>
                <w:szCs w:val="24"/>
                <w:highlight w:val="none"/>
                <w:lang w:val="en-US" w:eastAsia="zh-CN" w:bidi="ar-SA"/>
              </w:rPr>
              <w:t>，用地性质为</w:t>
            </w:r>
            <w:r>
              <w:rPr>
                <w:rFonts w:hint="eastAsia" w:ascii="Times New Roman" w:hAnsi="Times New Roman" w:eastAsia="宋体" w:cs="Times New Roman"/>
                <w:kern w:val="2"/>
                <w:sz w:val="24"/>
                <w:szCs w:val="24"/>
                <w:highlight w:val="none"/>
                <w:lang w:val="en-US" w:eastAsia="zh-CN" w:bidi="ar-SA"/>
              </w:rPr>
              <w:t>二类</w:t>
            </w:r>
            <w:r>
              <w:rPr>
                <w:rFonts w:hint="default" w:ascii="Times New Roman" w:hAnsi="Times New Roman" w:eastAsia="宋体" w:cs="Times New Roman"/>
                <w:kern w:val="2"/>
                <w:sz w:val="24"/>
                <w:szCs w:val="24"/>
                <w:highlight w:val="none"/>
                <w:lang w:val="en-US" w:eastAsia="zh-CN" w:bidi="ar-SA"/>
              </w:rPr>
              <w:t>工业用地</w:t>
            </w:r>
            <w:r>
              <w:rPr>
                <w:rFonts w:hint="eastAsia" w:ascii="Times New Roman" w:hAnsi="Times New Roman" w:eastAsia="宋体" w:cs="Times New Roman"/>
                <w:kern w:val="2"/>
                <w:sz w:val="24"/>
                <w:szCs w:val="24"/>
                <w:highlight w:val="none"/>
                <w:lang w:val="en-US" w:eastAsia="zh-CN" w:bidi="ar-SA"/>
              </w:rPr>
              <w:t>，项目区</w:t>
            </w:r>
            <w:r>
              <w:rPr>
                <w:rFonts w:hint="default" w:ascii="Times New Roman" w:hAnsi="Times New Roman" w:eastAsia="宋体" w:cs="Times New Roman"/>
                <w:kern w:val="2"/>
                <w:sz w:val="24"/>
                <w:szCs w:val="24"/>
                <w:highlight w:val="none"/>
                <w:lang w:val="en-US" w:eastAsia="zh-CN" w:bidi="ar-SA"/>
              </w:rPr>
              <w:t>西侧为</w:t>
            </w:r>
            <w:r>
              <w:rPr>
                <w:rFonts w:hint="eastAsia" w:ascii="Times New Roman" w:hAnsi="Times New Roman" w:eastAsia="宋体" w:cs="Times New Roman"/>
                <w:kern w:val="2"/>
                <w:sz w:val="24"/>
                <w:szCs w:val="24"/>
                <w:highlight w:val="none"/>
                <w:lang w:val="en-US" w:eastAsia="zh-CN" w:bidi="ar-SA"/>
              </w:rPr>
              <w:t>国道G218</w:t>
            </w:r>
            <w:r>
              <w:rPr>
                <w:rFonts w:hint="default" w:ascii="Times New Roman" w:hAnsi="Times New Roman" w:eastAsia="宋体" w:cs="Times New Roman"/>
                <w:kern w:val="2"/>
                <w:sz w:val="24"/>
                <w:szCs w:val="24"/>
                <w:highlight w:val="none"/>
                <w:lang w:val="en-US" w:eastAsia="zh-CN" w:bidi="ar-SA"/>
              </w:rPr>
              <w:t>，所在地交通方便，地理位置较为优越；项目区基础设施均依托于</w:t>
            </w:r>
            <w:r>
              <w:rPr>
                <w:rFonts w:hint="eastAsia" w:ascii="Times New Roman" w:hAnsi="Times New Roman" w:eastAsia="宋体" w:cs="Times New Roman"/>
                <w:kern w:val="2"/>
                <w:sz w:val="24"/>
                <w:szCs w:val="24"/>
                <w:highlight w:val="none"/>
                <w:lang w:val="en-US" w:eastAsia="zh-CN" w:bidi="ar-SA"/>
              </w:rPr>
              <w:t>库尔勒经济技术开发区</w:t>
            </w:r>
            <w:r>
              <w:rPr>
                <w:rFonts w:hint="default" w:ascii="Times New Roman" w:hAnsi="Times New Roman" w:eastAsia="宋体" w:cs="Times New Roman"/>
                <w:kern w:val="2"/>
                <w:sz w:val="24"/>
                <w:szCs w:val="24"/>
                <w:highlight w:val="none"/>
                <w:lang w:val="en-US" w:eastAsia="zh-CN" w:bidi="ar-SA"/>
              </w:rPr>
              <w:t>，可满足项目需求；项目投资建设条件良好。故本项目选址较为合理，具备项目建设条件。</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（2）政策符合性分析结论</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eastAsia="宋体"/>
                <w:b w:val="0"/>
                <w:color w:val="auto"/>
                <w:lang w:eastAsia="zh-CN"/>
              </w:rPr>
            </w:pPr>
            <w:r>
              <w:rPr>
                <w:rFonts w:hint="default" w:ascii="Times New Roman" w:hAnsi="Times New Roman" w:eastAsia="宋体" w:cs="Times New Roman"/>
                <w:kern w:val="2"/>
                <w:sz w:val="24"/>
                <w:szCs w:val="24"/>
                <w:highlight w:val="none"/>
                <w:lang w:val="en-US" w:eastAsia="zh-CN" w:bidi="ar-SA"/>
              </w:rPr>
              <w:t>本项目为</w:t>
            </w:r>
            <w:r>
              <w:rPr>
                <w:rFonts w:hint="eastAsia" w:ascii="Times New Roman" w:hAnsi="Times New Roman" w:eastAsia="宋体" w:cs="Times New Roman"/>
                <w:kern w:val="2"/>
                <w:sz w:val="24"/>
                <w:szCs w:val="24"/>
                <w:highlight w:val="none"/>
                <w:lang w:val="en-US" w:eastAsia="zh-CN" w:bidi="ar-SA"/>
              </w:rPr>
              <w:t>水泥制品制造</w:t>
            </w:r>
            <w:r>
              <w:rPr>
                <w:rFonts w:hint="default" w:ascii="Times New Roman" w:hAnsi="Times New Roman" w:eastAsia="宋体" w:cs="Times New Roman"/>
                <w:kern w:val="2"/>
                <w:sz w:val="24"/>
                <w:szCs w:val="24"/>
                <w:highlight w:val="none"/>
                <w:lang w:val="en-US" w:eastAsia="zh-CN" w:bidi="ar-SA"/>
              </w:rPr>
              <w:t>项目，根据国家发改委《产业结构调整指导目录》（201</w:t>
            </w:r>
            <w:r>
              <w:rPr>
                <w:rFonts w:hint="eastAsia" w:ascii="Times New Roman" w:hAnsi="Times New Roman" w:eastAsia="宋体" w:cs="Times New Roman"/>
                <w:kern w:val="2"/>
                <w:sz w:val="24"/>
                <w:szCs w:val="24"/>
                <w:highlight w:val="none"/>
                <w:lang w:val="en-US" w:eastAsia="zh-CN" w:bidi="ar-SA"/>
              </w:rPr>
              <w:t>9本</w:t>
            </w:r>
            <w:r>
              <w:rPr>
                <w:rFonts w:hint="default" w:ascii="Times New Roman" w:hAnsi="Times New Roman" w:eastAsia="宋体" w:cs="Times New Roman"/>
                <w:kern w:val="2"/>
                <w:sz w:val="24"/>
                <w:szCs w:val="24"/>
                <w:highlight w:val="none"/>
                <w:lang w:val="en-US" w:eastAsia="zh-CN" w:bidi="ar-SA"/>
              </w:rPr>
              <w:t>），本项目不属于鼓励类、限制类和淘汰类项目，为允许类项目，符合国家产业政策。</w:t>
            </w:r>
            <w:r>
              <w:rPr>
                <w:rFonts w:hint="eastAsia" w:ascii="Times New Roman" w:hAnsi="Times New Roman" w:eastAsia="宋体" w:cs="Times New Roman"/>
                <w:kern w:val="2"/>
                <w:sz w:val="24"/>
                <w:szCs w:val="24"/>
                <w:highlight w:val="none"/>
                <w:lang w:val="en-US" w:eastAsia="zh-CN" w:bidi="ar-SA"/>
              </w:rPr>
              <w:t>库尔勒经济技术开发区</w:t>
            </w:r>
            <w:r>
              <w:rPr>
                <w:rFonts w:hint="default" w:ascii="Times New Roman" w:hAnsi="Times New Roman" w:eastAsia="宋体" w:cs="Times New Roman"/>
                <w:kern w:val="2"/>
                <w:sz w:val="24"/>
                <w:szCs w:val="24"/>
                <w:highlight w:val="none"/>
                <w:lang w:val="en-US" w:eastAsia="zh-CN" w:bidi="ar-SA"/>
              </w:rPr>
              <w:t>规划建设内容为</w:t>
            </w:r>
            <w:r>
              <w:rPr>
                <w:rFonts w:hint="eastAsia"/>
                <w:b w:val="0"/>
                <w:color w:val="auto"/>
              </w:rPr>
              <w:t>石油石化、棉纺化纤、农副产品加工、矿业及机械制造加工、能源</w:t>
            </w:r>
            <w:r>
              <w:rPr>
                <w:rFonts w:hint="eastAsia"/>
                <w:b w:val="0"/>
                <w:color w:val="auto"/>
                <w:u w:val="none"/>
              </w:rPr>
              <w:t>建材</w:t>
            </w:r>
            <w:r>
              <w:rPr>
                <w:rFonts w:hint="eastAsia"/>
                <w:b w:val="0"/>
                <w:color w:val="auto"/>
              </w:rPr>
              <w:t>和高新技术产业</w:t>
            </w:r>
            <w:r>
              <w:rPr>
                <w:rFonts w:hint="eastAsia"/>
                <w:b w:val="0"/>
                <w:color w:val="auto"/>
                <w:lang w:val="en-US" w:eastAsia="zh-CN"/>
              </w:rPr>
              <w:t>等六大主导产业</w:t>
            </w:r>
            <w:r>
              <w:rPr>
                <w:rFonts w:hint="default" w:ascii="Times New Roman" w:hAnsi="Times New Roman" w:eastAsia="宋体" w:cs="Times New Roman"/>
                <w:kern w:val="2"/>
                <w:sz w:val="24"/>
                <w:szCs w:val="24"/>
                <w:highlight w:val="none"/>
                <w:lang w:val="en-US" w:eastAsia="zh-CN" w:bidi="ar-SA"/>
              </w:rPr>
              <w:t>，</w:t>
            </w:r>
            <w:r>
              <w:rPr>
                <w:rFonts w:hint="eastAsia" w:ascii="Times New Roman" w:hAnsi="Times New Roman" w:eastAsia="宋体" w:cs="Times New Roman"/>
                <w:kern w:val="2"/>
                <w:sz w:val="24"/>
                <w:szCs w:val="24"/>
                <w:highlight w:val="none"/>
                <w:lang w:val="en-US" w:eastAsia="zh-CN" w:bidi="ar-SA"/>
              </w:rPr>
              <w:t>和</w:t>
            </w:r>
            <w:r>
              <w:rPr>
                <w:rFonts w:hint="eastAsia"/>
                <w:b w:val="0"/>
                <w:color w:val="auto"/>
              </w:rPr>
              <w:t>发展现代物流、造纸及纸制品、纺织服装和职教培训</w:t>
            </w:r>
            <w:r>
              <w:rPr>
                <w:rFonts w:hint="eastAsia"/>
                <w:b w:val="0"/>
                <w:color w:val="auto"/>
                <w:lang w:val="en-US" w:eastAsia="zh-CN"/>
              </w:rPr>
              <w:t>等四大辅导产业。</w:t>
            </w:r>
            <w:r>
              <w:rPr>
                <w:rFonts w:hint="eastAsia"/>
                <w:b w:val="0"/>
                <w:color w:val="auto"/>
              </w:rPr>
              <w:t>本项目是绿色装配式建筑材料生产项目，其产品复合免拆保温模板、叠合楼板为新型建筑材料</w:t>
            </w:r>
            <w:r>
              <w:rPr>
                <w:rFonts w:hint="eastAsia"/>
                <w:b w:val="0"/>
                <w:color w:val="auto"/>
                <w:lang w:val="en-US" w:eastAsia="zh-CN"/>
              </w:rPr>
              <w:t>和</w:t>
            </w:r>
            <w:r>
              <w:rPr>
                <w:rFonts w:hint="eastAsia"/>
                <w:b w:val="0"/>
                <w:color w:val="auto"/>
              </w:rPr>
              <w:t>PC构件和商品混凝为建材加工，可见本项目是六大主导产业中的建材产业，符合库尔勒经济技术开发区总体规划</w:t>
            </w:r>
            <w:r>
              <w:rPr>
                <w:rFonts w:hint="eastAsia"/>
                <w:b w:val="0"/>
                <w:color w:val="auto"/>
                <w:lang w:eastAsia="zh-CN"/>
              </w:rPr>
              <w:t>。</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（3）清洁生产分析结论</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本项目采用具有国内先进水平的生产工艺和生产设备；从生产工艺流程可看出，整个生产过程中污染物排放量较少，产品在使用过程中也不存在对环境的危害。由此可见，本项目清洁生产水平达到国内基本水平，符合清洁生产要求。</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（4）风险分</w:t>
            </w:r>
            <w:r>
              <w:rPr>
                <w:rFonts w:hint="default" w:ascii="Times New Roman" w:hAnsi="Times New Roman" w:eastAsia="宋体" w:cs="Times New Roman"/>
                <w:color w:val="auto"/>
                <w:kern w:val="2"/>
                <w:sz w:val="24"/>
                <w:szCs w:val="24"/>
                <w:highlight w:val="none"/>
                <w:lang w:val="en-US" w:eastAsia="zh-CN" w:bidi="ar-SA"/>
              </w:rPr>
              <w:t>析结论</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本项目主要原料为</w:t>
            </w:r>
            <w:r>
              <w:rPr>
                <w:rFonts w:hint="default" w:ascii="Times New Roman" w:hAnsi="Times New Roman" w:cs="Times New Roman"/>
                <w:color w:val="auto"/>
                <w:sz w:val="24"/>
              </w:rPr>
              <w:t>水泥、砂子、石子等</w:t>
            </w:r>
            <w:r>
              <w:rPr>
                <w:rFonts w:hint="default" w:ascii="Times New Roman" w:hAnsi="Times New Roman" w:eastAsia="宋体" w:cs="Times New Roman"/>
                <w:color w:val="auto"/>
                <w:kern w:val="2"/>
                <w:sz w:val="24"/>
                <w:szCs w:val="24"/>
                <w:highlight w:val="none"/>
                <w:lang w:val="en-US" w:eastAsia="zh-CN" w:bidi="ar-SA"/>
              </w:rPr>
              <w:t>，产品为</w:t>
            </w:r>
            <w:r>
              <w:rPr>
                <w:rFonts w:hint="eastAsia" w:ascii="Times New Roman" w:hAnsi="Times New Roman" w:cs="Times New Roman"/>
                <w:color w:val="auto"/>
                <w:sz w:val="24"/>
                <w:lang w:val="en-US" w:eastAsia="zh-CN"/>
              </w:rPr>
              <w:t>免拆模板复合保温墙板、</w:t>
            </w:r>
            <w:r>
              <w:rPr>
                <w:rFonts w:hint="default" w:ascii="Times New Roman" w:hAnsi="Times New Roman" w:cs="Times New Roman"/>
                <w:color w:val="auto"/>
                <w:sz w:val="24"/>
              </w:rPr>
              <w:t>叠合楼板</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PC构件</w:t>
            </w:r>
            <w:r>
              <w:rPr>
                <w:rFonts w:hint="eastAsia" w:ascii="Times New Roman" w:hAnsi="Times New Roman" w:cs="Times New Roman"/>
                <w:color w:val="auto"/>
                <w:sz w:val="24"/>
                <w:lang w:val="en-US" w:eastAsia="zh-CN"/>
              </w:rPr>
              <w:t>及</w:t>
            </w:r>
            <w:r>
              <w:rPr>
                <w:rFonts w:hint="default" w:ascii="Times New Roman" w:hAnsi="Times New Roman" w:cs="Times New Roman"/>
                <w:color w:val="auto"/>
                <w:sz w:val="24"/>
              </w:rPr>
              <w:t>商品混凝土</w:t>
            </w:r>
            <w:r>
              <w:rPr>
                <w:rFonts w:hint="default" w:ascii="Times New Roman" w:hAnsi="Times New Roman" w:eastAsia="宋体" w:cs="Times New Roman"/>
                <w:color w:val="auto"/>
                <w:kern w:val="2"/>
                <w:sz w:val="24"/>
                <w:szCs w:val="24"/>
                <w:highlight w:val="none"/>
                <w:lang w:val="en-US" w:eastAsia="zh-CN" w:bidi="ar-SA"/>
              </w:rPr>
              <w:t>。该项</w:t>
            </w:r>
            <w:r>
              <w:rPr>
                <w:rFonts w:hint="default" w:ascii="Times New Roman" w:hAnsi="Times New Roman" w:eastAsia="宋体" w:cs="Times New Roman"/>
                <w:kern w:val="2"/>
                <w:sz w:val="24"/>
                <w:szCs w:val="24"/>
                <w:highlight w:val="none"/>
                <w:lang w:val="en-US" w:eastAsia="zh-CN" w:bidi="ar-SA"/>
              </w:rPr>
              <w:t>目在运行使用后，具有一定的环境风险。建设方在采取一定的应急预案措施后，将风险程度减小到最低。</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要求和建议</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（1）增强职</w:t>
            </w:r>
            <w:r>
              <w:rPr>
                <w:rFonts w:hint="eastAsia" w:ascii="Times New Roman" w:hAnsi="Times New Roman" w:eastAsia="宋体" w:cs="Times New Roman"/>
                <w:kern w:val="2"/>
                <w:sz w:val="24"/>
                <w:szCs w:val="24"/>
                <w:highlight w:val="none"/>
                <w:lang w:val="en-US" w:eastAsia="zh-CN" w:bidi="ar-SA"/>
              </w:rPr>
              <w:t>工</w:t>
            </w:r>
            <w:r>
              <w:rPr>
                <w:rFonts w:hint="default" w:ascii="Times New Roman" w:hAnsi="Times New Roman" w:eastAsia="宋体" w:cs="Times New Roman"/>
                <w:kern w:val="2"/>
                <w:sz w:val="24"/>
                <w:szCs w:val="24"/>
                <w:highlight w:val="none"/>
                <w:lang w:val="en-US" w:eastAsia="zh-CN" w:bidi="ar-SA"/>
              </w:rPr>
              <w:t>环</w:t>
            </w:r>
            <w:r>
              <w:rPr>
                <w:rFonts w:hint="eastAsia" w:ascii="Times New Roman" w:hAnsi="Times New Roman" w:eastAsia="宋体" w:cs="Times New Roman"/>
                <w:kern w:val="2"/>
                <w:sz w:val="24"/>
                <w:szCs w:val="24"/>
                <w:highlight w:val="none"/>
                <w:lang w:val="en-US" w:eastAsia="zh-CN" w:bidi="ar-SA"/>
              </w:rPr>
              <w:t>保</w:t>
            </w:r>
            <w:r>
              <w:rPr>
                <w:rFonts w:hint="default" w:ascii="Times New Roman" w:hAnsi="Times New Roman" w:eastAsia="宋体" w:cs="Times New Roman"/>
                <w:kern w:val="2"/>
                <w:sz w:val="24"/>
                <w:szCs w:val="24"/>
                <w:highlight w:val="none"/>
                <w:lang w:val="en-US" w:eastAsia="zh-CN" w:bidi="ar-SA"/>
              </w:rPr>
              <w:t>意识设施操作运行规程，建立健全各项环保岗位责任制，强化环保管理，确保环保设施正常稳定运行；加强监督管理，消除事故隐患，防止出现事故性和非正常污染排放。</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（2）在项目实施过程中，建设单位应坚持“清洁生产”的思想，尽可能采用节能、节水、环保的材料、设备及技术，从而实现节约能源、降低物耗，减少污染物排放量的目标。</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（3）做好生产人员的卫生防护工作，定期体检。</w:t>
            </w:r>
            <w:r>
              <w:rPr>
                <w:rFonts w:hint="eastAsia" w:ascii="Times New Roman" w:hAnsi="Times New Roman" w:eastAsia="宋体" w:cs="Times New Roman"/>
                <w:kern w:val="2"/>
                <w:sz w:val="24"/>
                <w:szCs w:val="24"/>
                <w:highlight w:val="none"/>
                <w:lang w:val="en-US" w:eastAsia="zh-CN" w:bidi="ar-SA"/>
              </w:rPr>
              <w:t>投料、配比搅拌及切割</w:t>
            </w:r>
            <w:r>
              <w:rPr>
                <w:rFonts w:hint="default" w:ascii="Times New Roman" w:hAnsi="Times New Roman" w:eastAsia="宋体" w:cs="Times New Roman"/>
                <w:kern w:val="2"/>
                <w:sz w:val="24"/>
                <w:szCs w:val="24"/>
                <w:highlight w:val="none"/>
                <w:lang w:val="en-US" w:eastAsia="zh-CN" w:bidi="ar-SA"/>
              </w:rPr>
              <w:t>等工序操作工人应戴防尘口罩、护耳器，穿工作服，以最大限度地减少工艺粉尘的呼入量，减少高分贝噪声对工人的损害，保障职工身体健康。</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（4）要求建设方将短绒等易燃物设置单独</w:t>
            </w:r>
            <w:r>
              <w:rPr>
                <w:rFonts w:hint="eastAsia" w:cs="Times New Roman"/>
                <w:kern w:val="2"/>
                <w:sz w:val="24"/>
                <w:szCs w:val="24"/>
                <w:highlight w:val="none"/>
                <w:lang w:val="en-US" w:eastAsia="zh-CN" w:bidi="ar-SA"/>
              </w:rPr>
              <w:t>区域</w:t>
            </w:r>
            <w:r>
              <w:rPr>
                <w:rFonts w:hint="default" w:ascii="Times New Roman" w:hAnsi="Times New Roman" w:eastAsia="宋体" w:cs="Times New Roman"/>
                <w:kern w:val="2"/>
                <w:sz w:val="24"/>
                <w:szCs w:val="24"/>
                <w:highlight w:val="none"/>
                <w:lang w:val="en-US" w:eastAsia="zh-CN" w:bidi="ar-SA"/>
              </w:rPr>
              <w:t>存放，由专人管理，把生活区与生产区分隔开，在生产区严禁烟火，对易燃物加强管理，定期对职工进行安全知识教育活动，使可能发生的隐患降到最低程度。</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（5）建设方应加强厂区绿化，绿化面积应满足有关规定，绿化采取树、灌、草等相结合的形式，以达到降噪、净化空气、美化环境的目的。环评总结论</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综上所述，本项目具有较明显</w:t>
            </w:r>
            <w:r>
              <w:rPr>
                <w:rFonts w:hint="eastAsia" w:cs="Times New Roman"/>
                <w:kern w:val="2"/>
                <w:sz w:val="24"/>
                <w:szCs w:val="24"/>
                <w:highlight w:val="none"/>
                <w:lang w:val="en-US" w:eastAsia="zh-CN" w:bidi="ar-SA"/>
              </w:rPr>
              <w:t>的</w:t>
            </w:r>
            <w:r>
              <w:rPr>
                <w:rFonts w:hint="default" w:ascii="Times New Roman" w:hAnsi="Times New Roman" w:eastAsia="宋体" w:cs="Times New Roman"/>
                <w:kern w:val="2"/>
                <w:sz w:val="24"/>
                <w:szCs w:val="24"/>
                <w:highlight w:val="none"/>
                <w:lang w:val="en-US" w:eastAsia="zh-CN" w:bidi="ar-SA"/>
              </w:rPr>
              <w:t>社会</w:t>
            </w:r>
            <w:r>
              <w:rPr>
                <w:rFonts w:hint="eastAsia" w:cs="Times New Roman"/>
                <w:kern w:val="2"/>
                <w:sz w:val="24"/>
                <w:szCs w:val="24"/>
                <w:highlight w:val="none"/>
                <w:lang w:val="en-US" w:eastAsia="zh-CN" w:bidi="ar-SA"/>
              </w:rPr>
              <w:t>－－</w:t>
            </w:r>
            <w:r>
              <w:rPr>
                <w:rFonts w:hint="default" w:ascii="Times New Roman" w:hAnsi="Times New Roman" w:eastAsia="宋体" w:cs="Times New Roman"/>
                <w:kern w:val="2"/>
                <w:sz w:val="24"/>
                <w:szCs w:val="24"/>
                <w:highlight w:val="none"/>
                <w:lang w:val="en-US" w:eastAsia="zh-CN" w:bidi="ar-SA"/>
              </w:rPr>
              <w:t>经济效益，项目建设对本地区经济发展有一定促进作用。项目所在地环境质量较好，项目对周围环境的污染程度较轻本项目所产生的废气、废水、噪声、固废在采取相应的治理措施后，可满足相应的国家排放标准。建设单位应对各项污染防治措施和上述建议切实逐项予以落实、并加强生产和污染治理设施的运行管理、保证各种污染物达标排放的前提下本项目对周围环境质量影响较小，符合国家、地方的环保标准。针对本工程存在的环境问题，在采取和落实本报告表中提出的各项环保措施的情况下，其对环境的影响是可以得到有效控制的。采取合理有效的防护措施，本项目存在的风险在可接受水平。因此，本项目从环境保护的角度来看，该项目的建设是合理可行的。</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color w:val="auto"/>
                <w:kern w:val="44"/>
                <w:sz w:val="24"/>
                <w:szCs w:val="24"/>
                <w:highlight w:val="none"/>
                <w:lang w:val="en-US" w:eastAsia="zh-CN" w:bidi="ar-SA"/>
              </w:rPr>
            </w:pPr>
            <w:r>
              <w:rPr>
                <w:rFonts w:hint="default" w:ascii="Times New Roman" w:hAnsi="Times New Roman" w:eastAsia="宋体" w:cs="Times New Roman"/>
                <w:b/>
                <w:color w:val="auto"/>
                <w:kern w:val="44"/>
                <w:sz w:val="24"/>
                <w:szCs w:val="24"/>
                <w:highlight w:val="none"/>
                <w:lang w:val="en-US" w:eastAsia="zh-CN" w:bidi="ar-SA"/>
              </w:rPr>
              <w:t>环境保护行政主管部门的审批意见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23</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月</w:t>
            </w:r>
            <w:r>
              <w:rPr>
                <w:rFonts w:hint="eastAsia" w:ascii="Times New Roman" w:hAnsi="Times New Roman" w:eastAsia="宋体" w:cs="Times New Roman"/>
                <w:color w:val="auto"/>
                <w:sz w:val="24"/>
                <w:szCs w:val="24"/>
                <w:lang w:val="en-US" w:eastAsia="zh-CN"/>
              </w:rPr>
              <w:t>30</w:t>
            </w:r>
            <w:r>
              <w:rPr>
                <w:rFonts w:hint="default" w:ascii="Times New Roman" w:hAnsi="Times New Roman" w:eastAsia="宋体" w:cs="Times New Roman"/>
                <w:color w:val="auto"/>
                <w:sz w:val="24"/>
                <w:szCs w:val="24"/>
                <w:highlight w:val="none"/>
                <w:lang w:val="en-US" w:eastAsia="zh-CN"/>
              </w:rPr>
              <w:t>日，</w:t>
            </w:r>
            <w:r>
              <w:rPr>
                <w:rFonts w:hint="eastAsia" w:ascii="Times New Roman" w:hAnsi="Times New Roman" w:eastAsia="宋体" w:cs="Times New Roman"/>
                <w:color w:val="auto"/>
                <w:sz w:val="24"/>
                <w:szCs w:val="24"/>
                <w:highlight w:val="none"/>
                <w:lang w:val="en-US" w:eastAsia="zh-CN"/>
              </w:rPr>
              <w:t>新疆巴州生态环境局</w:t>
            </w:r>
            <w:r>
              <w:rPr>
                <w:rFonts w:hint="default" w:ascii="Times New Roman" w:hAnsi="Times New Roman" w:eastAsia="宋体" w:cs="Times New Roman"/>
                <w:color w:val="auto"/>
                <w:sz w:val="24"/>
                <w:szCs w:val="24"/>
                <w:highlight w:val="none"/>
                <w:lang w:val="en-US" w:eastAsia="zh-CN"/>
              </w:rPr>
              <w:t>以</w:t>
            </w:r>
            <w:r>
              <w:rPr>
                <w:rFonts w:hint="eastAsia" w:ascii="Times New Roman" w:hAnsi="Times New Roman" w:eastAsia="宋体" w:cs="Times New Roman"/>
                <w:color w:val="auto"/>
                <w:sz w:val="24"/>
                <w:szCs w:val="24"/>
                <w:highlight w:val="none"/>
                <w:lang w:val="en-US" w:eastAsia="zh-CN"/>
              </w:rPr>
              <w:t>巴环评价函</w:t>
            </w:r>
            <w:r>
              <w:rPr>
                <w:rFonts w:hint="default" w:ascii="Times New Roman" w:hAnsi="Times New Roman" w:eastAsia="宋体" w:cs="Times New Roman"/>
                <w:color w:val="auto"/>
                <w:sz w:val="24"/>
                <w:szCs w:val="24"/>
                <w:highlight w:val="none"/>
                <w:lang w:val="en-US" w:eastAsia="zh-CN"/>
              </w:rPr>
              <w:t>〔20</w:t>
            </w:r>
            <w:r>
              <w:rPr>
                <w:rFonts w:hint="eastAsia"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78</w:t>
            </w:r>
            <w:r>
              <w:rPr>
                <w:rFonts w:hint="default" w:ascii="Times New Roman" w:hAnsi="Times New Roman" w:eastAsia="宋体" w:cs="Times New Roman"/>
                <w:color w:val="auto"/>
                <w:sz w:val="24"/>
                <w:szCs w:val="24"/>
                <w:highlight w:val="none"/>
                <w:lang w:val="en-US" w:eastAsia="zh-CN"/>
              </w:rPr>
              <w:t>号</w:t>
            </w:r>
            <w:r>
              <w:rPr>
                <w:rFonts w:hint="default" w:ascii="Times New Roman" w:hAnsi="Times New Roman" w:eastAsia="宋体" w:cs="Times New Roman"/>
                <w:color w:val="auto"/>
                <w:sz w:val="24"/>
                <w:szCs w:val="24"/>
                <w:lang w:val="en-US" w:eastAsia="zh-CN"/>
              </w:rPr>
              <w:t>文对本项目环境影响报告表提出批复，内容如下：</w:t>
            </w:r>
          </w:p>
          <w:p>
            <w:pPr>
              <w:pStyle w:val="7"/>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left"/>
              <w:textAlignment w:val="auto"/>
              <w:rPr>
                <w:rFonts w:hint="default" w:ascii="Times New Roman" w:hAnsi="Times New Roman" w:eastAsia="宋体" w:cs="Times New Roman"/>
                <w:sz w:val="24"/>
                <w:szCs w:val="24"/>
                <w:highlight w:val="none"/>
                <w:lang w:eastAsia="zh-CN"/>
              </w:rPr>
            </w:pPr>
            <w:bookmarkStart w:id="4" w:name="bookmark6"/>
            <w:r>
              <w:rPr>
                <w:rFonts w:hint="default" w:ascii="Times New Roman" w:hAnsi="Times New Roman" w:eastAsia="宋体" w:cs="Times New Roman"/>
                <w:sz w:val="24"/>
                <w:szCs w:val="24"/>
                <w:highlight w:val="none"/>
                <w:lang w:eastAsia="zh-CN"/>
              </w:rPr>
              <w:t>一</w:t>
            </w:r>
            <w:bookmarkEnd w:id="4"/>
            <w:r>
              <w:rPr>
                <w:rFonts w:hint="default" w:ascii="Times New Roman" w:hAnsi="Times New Roman" w:eastAsia="宋体" w:cs="Times New Roman"/>
                <w:sz w:val="24"/>
                <w:szCs w:val="24"/>
                <w:highlight w:val="none"/>
                <w:lang w:eastAsia="zh-CN"/>
              </w:rPr>
              <w:t>、2021年6月，绿色装配式建筑产业园建设项目（一期）项目通过库尔勒经济技术开发区环境保护局批复（库开环评价函〔2021〕7号），建设搅拌楼1座及配套设施原料仓2座、 综合楼1座（一层结构）、3#办公楼（一层结构）、门卫室及 地面硬化，生产规模为年产商品混凝土5万</w:t>
            </w:r>
            <w:r>
              <w:rPr>
                <w:rFonts w:hint="eastAsia" w:ascii="Times New Roman" w:hAnsi="Times New Roman" w:eastAsia="宋体" w:cs="Times New Roman"/>
                <w:sz w:val="24"/>
                <w:szCs w:val="24"/>
                <w:highlight w:val="none"/>
                <w:lang w:val="en-US" w:eastAsia="zh-CN"/>
              </w:rPr>
              <w:t>m</w:t>
            </w:r>
            <w:r>
              <w:rPr>
                <w:rFonts w:hint="eastAsia"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lang w:val="en-US" w:eastAsia="zh-CN"/>
              </w:rPr>
              <w:t xml:space="preserve">, </w:t>
            </w:r>
            <w:r>
              <w:rPr>
                <w:rFonts w:hint="default" w:ascii="Times New Roman" w:hAnsi="Times New Roman" w:eastAsia="宋体" w:cs="Times New Roman"/>
                <w:sz w:val="24"/>
                <w:szCs w:val="24"/>
                <w:highlight w:val="none"/>
                <w:lang w:eastAsia="zh-CN"/>
              </w:rPr>
              <w:t>2022年5月完成竣工环境保护自主验收。现项目实际生产规模为年产商品混凝土 95万</w:t>
            </w:r>
            <w:r>
              <w:rPr>
                <w:rFonts w:hint="default" w:ascii="Times New Roman" w:hAnsi="Times New Roman" w:eastAsia="宋体" w:cs="Times New Roman"/>
                <w:sz w:val="24"/>
                <w:szCs w:val="24"/>
                <w:highlight w:val="none"/>
                <w:lang w:val="en-US" w:eastAsia="zh-CN"/>
              </w:rPr>
              <w:t>m</w:t>
            </w:r>
            <w:r>
              <w:rPr>
                <w:rFonts w:hint="default" w:ascii="Times New Roman" w:hAnsi="Times New Roman" w:eastAsia="宋体" w:cs="Times New Roman"/>
                <w:sz w:val="24"/>
                <w:szCs w:val="24"/>
                <w:highlight w:val="none"/>
                <w:vertAlign w:val="superscript"/>
                <w:lang w:val="en-US" w:eastAsia="zh-CN"/>
              </w:rPr>
              <w:t>3</w:t>
            </w:r>
            <w:r>
              <w:rPr>
                <w:rFonts w:hint="eastAsia" w:ascii="Times New Roman" w:hAnsi="Times New Roman" w:eastAsia="宋体" w:cs="Times New Roman"/>
                <w:sz w:val="24"/>
                <w:szCs w:val="24"/>
                <w:highlight w:val="none"/>
                <w:vertAlign w:val="baseline"/>
                <w:lang w:val="en-US" w:eastAsia="zh-CN"/>
              </w:rPr>
              <w:t>，</w:t>
            </w:r>
            <w:r>
              <w:rPr>
                <w:rFonts w:hint="default" w:ascii="Times New Roman" w:hAnsi="Times New Roman" w:eastAsia="宋体" w:cs="Times New Roman"/>
                <w:sz w:val="24"/>
                <w:szCs w:val="24"/>
                <w:highlight w:val="none"/>
                <w:lang w:eastAsia="zh-CN"/>
              </w:rPr>
              <w:t>未经环评审批即开工建设，违反了《环境影响评价法》和《建设项目环境保护管理条例》有关规定。你公司应加强环境管理，自觉履行环境保护相关法律规定，禁止再次出现环境违法行为。</w:t>
            </w:r>
            <w:r>
              <w:rPr>
                <w:rFonts w:hint="default" w:ascii="Times New Roman" w:hAnsi="Times New Roman" w:eastAsia="宋体" w:cs="Times New Roman"/>
                <w:sz w:val="24"/>
                <w:szCs w:val="24"/>
                <w:highlight w:val="none"/>
                <w:lang w:eastAsia="zh-CN"/>
              </w:rPr>
              <w:tab/>
            </w:r>
          </w:p>
          <w:p>
            <w:pPr>
              <w:pStyle w:val="7"/>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left"/>
              <w:textAlignment w:val="auto"/>
              <w:rPr>
                <w:rFonts w:hint="default" w:ascii="Times New Roman" w:hAnsi="Times New Roman" w:eastAsia="宋体" w:cs="Times New Roman"/>
                <w:sz w:val="24"/>
                <w:szCs w:val="24"/>
                <w:highlight w:val="none"/>
                <w:lang w:eastAsia="zh-CN"/>
              </w:rPr>
            </w:pPr>
            <w:bookmarkStart w:id="5" w:name="bookmark7"/>
            <w:r>
              <w:rPr>
                <w:rFonts w:hint="default" w:ascii="Times New Roman" w:hAnsi="Times New Roman" w:eastAsia="宋体" w:cs="Times New Roman"/>
                <w:sz w:val="24"/>
                <w:szCs w:val="24"/>
                <w:highlight w:val="none"/>
                <w:lang w:eastAsia="zh-CN"/>
              </w:rPr>
              <w:t>二</w:t>
            </w:r>
            <w:bookmarkEnd w:id="5"/>
            <w:r>
              <w:rPr>
                <w:rFonts w:hint="default" w:ascii="Times New Roman" w:hAnsi="Times New Roman" w:eastAsia="宋体" w:cs="Times New Roman"/>
                <w:sz w:val="24"/>
                <w:szCs w:val="24"/>
                <w:highlight w:val="none"/>
                <w:lang w:eastAsia="zh-CN"/>
              </w:rPr>
              <w:t>、该项目位于库尔勒经济技术开发区康盛路西侧现有厂区内，建设性质为扩建，中心地理坐标：东经</w:t>
            </w:r>
            <w:r>
              <w:rPr>
                <w:bCs/>
                <w:color w:val="auto"/>
                <w:sz w:val="24"/>
              </w:rPr>
              <w:t>86°11'53.28</w:t>
            </w:r>
            <w:r>
              <w:rPr>
                <w:rFonts w:hint="eastAsia"/>
                <w:bCs/>
                <w:color w:val="auto"/>
                <w:sz w:val="24"/>
              </w:rPr>
              <w:t>0</w:t>
            </w:r>
            <w:r>
              <w:rPr>
                <w:bCs/>
                <w:color w:val="auto"/>
                <w:sz w:val="24"/>
              </w:rPr>
              <w:t>"</w:t>
            </w:r>
            <w:r>
              <w:rPr>
                <w:rFonts w:hint="default" w:ascii="Times New Roman" w:hAnsi="Times New Roman" w:eastAsia="宋体" w:cs="Times New Roman"/>
                <w:sz w:val="24"/>
                <w:szCs w:val="24"/>
                <w:highlight w:val="none"/>
                <w:lang w:val="zh-CN" w:eastAsia="zh-CN"/>
              </w:rPr>
              <w:t>，</w:t>
            </w:r>
            <w:r>
              <w:rPr>
                <w:rFonts w:hint="default" w:ascii="Times New Roman" w:hAnsi="Times New Roman" w:eastAsia="宋体" w:cs="Times New Roman"/>
                <w:sz w:val="24"/>
                <w:szCs w:val="24"/>
                <w:highlight w:val="none"/>
                <w:lang w:eastAsia="zh-CN"/>
              </w:rPr>
              <w:t>北纬</w:t>
            </w:r>
            <w:r>
              <w:rPr>
                <w:color w:val="auto"/>
                <w:sz w:val="24"/>
              </w:rPr>
              <w:t>41°40'24.42</w:t>
            </w:r>
            <w:r>
              <w:rPr>
                <w:rFonts w:hint="eastAsia"/>
                <w:color w:val="auto"/>
                <w:sz w:val="24"/>
              </w:rPr>
              <w:t>0</w:t>
            </w:r>
            <w:r>
              <w:rPr>
                <w:color w:val="auto"/>
                <w:sz w:val="24"/>
              </w:rPr>
              <w:t>"</w:t>
            </w:r>
            <w:r>
              <w:rPr>
                <w:rFonts w:hint="default" w:ascii="Times New Roman" w:hAnsi="Times New Roman" w:eastAsia="宋体" w:cs="Times New Roman"/>
                <w:sz w:val="24"/>
                <w:szCs w:val="24"/>
                <w:highlight w:val="none"/>
                <w:lang w:eastAsia="zh-CN"/>
              </w:rPr>
              <w:t>。项目新增2台</w:t>
            </w:r>
            <w:r>
              <w:rPr>
                <w:rFonts w:hint="default" w:ascii="Times New Roman" w:hAnsi="Times New Roman" w:eastAsia="宋体" w:cs="Times New Roman"/>
                <w:sz w:val="24"/>
                <w:szCs w:val="24"/>
                <w:highlight w:val="none"/>
                <w:lang w:val="en-US" w:eastAsia="zh-CN"/>
              </w:rPr>
              <w:t>4t/h</w:t>
            </w:r>
            <w:r>
              <w:rPr>
                <w:rFonts w:hint="default" w:ascii="Times New Roman" w:hAnsi="Times New Roman" w:eastAsia="宋体" w:cs="Times New Roman"/>
                <w:sz w:val="24"/>
                <w:szCs w:val="24"/>
                <w:highlight w:val="none"/>
                <w:lang w:eastAsia="zh-CN"/>
              </w:rPr>
              <w:t>燃气锅炉、原料储罐4座，依托1#厂房生产线年增产40万</w:t>
            </w:r>
            <w:r>
              <w:rPr>
                <w:rFonts w:hint="default" w:ascii="Times New Roman" w:hAnsi="Times New Roman" w:eastAsia="宋体" w:cs="Times New Roman"/>
                <w:sz w:val="24"/>
                <w:szCs w:val="24"/>
                <w:highlight w:val="none"/>
                <w:lang w:val="en-US" w:eastAsia="zh-CN"/>
              </w:rPr>
              <w:t>m</w:t>
            </w:r>
            <w:r>
              <w:rPr>
                <w:rFonts w:hint="default" w:ascii="Times New Roman" w:hAnsi="Times New Roman" w:eastAsia="宋体" w:cs="Times New Roman"/>
                <w:sz w:val="24"/>
                <w:szCs w:val="24"/>
                <w:highlight w:val="none"/>
                <w:vertAlign w:val="superscript"/>
                <w:lang w:val="en-US" w:eastAsia="zh-CN"/>
              </w:rPr>
              <w:t>2</w:t>
            </w:r>
            <w:r>
              <w:rPr>
                <w:rFonts w:hint="default" w:ascii="Times New Roman" w:hAnsi="Times New Roman" w:eastAsia="宋体" w:cs="Times New Roman"/>
                <w:sz w:val="24"/>
                <w:szCs w:val="24"/>
                <w:highlight w:val="none"/>
                <w:lang w:eastAsia="zh-CN"/>
              </w:rPr>
              <w:t>复合保温免拆保温模板、60万</w:t>
            </w:r>
            <w:r>
              <w:rPr>
                <w:rFonts w:hint="default" w:ascii="Times New Roman" w:hAnsi="Times New Roman" w:eastAsia="宋体" w:cs="Times New Roman"/>
                <w:sz w:val="24"/>
                <w:szCs w:val="24"/>
                <w:highlight w:val="none"/>
                <w:lang w:val="en-US" w:eastAsia="zh-CN"/>
              </w:rPr>
              <w:t>m</w:t>
            </w:r>
            <w:r>
              <w:rPr>
                <w:rFonts w:hint="default" w:ascii="Times New Roman" w:hAnsi="Times New Roman" w:eastAsia="宋体" w:cs="Times New Roman"/>
                <w:sz w:val="24"/>
                <w:szCs w:val="24"/>
                <w:highlight w:val="none"/>
                <w:vertAlign w:val="superscript"/>
                <w:lang w:val="en-US" w:eastAsia="zh-CN"/>
              </w:rPr>
              <w:t>2</w:t>
            </w:r>
            <w:r>
              <w:rPr>
                <w:rFonts w:hint="default" w:ascii="Times New Roman" w:hAnsi="Times New Roman" w:eastAsia="宋体" w:cs="Times New Roman"/>
                <w:sz w:val="24"/>
                <w:szCs w:val="24"/>
                <w:highlight w:val="none"/>
                <w:lang w:eastAsia="zh-CN"/>
              </w:rPr>
              <w:t>叠合楼板、</w:t>
            </w:r>
            <w:r>
              <w:rPr>
                <w:rFonts w:hint="default" w:ascii="Times New Roman" w:hAnsi="Times New Roman" w:eastAsia="宋体" w:cs="Times New Roman"/>
                <w:sz w:val="24"/>
                <w:szCs w:val="24"/>
                <w:highlight w:val="none"/>
                <w:lang w:val="en-US" w:eastAsia="zh-CN"/>
              </w:rPr>
              <w:t>1.5</w:t>
            </w:r>
            <w:r>
              <w:rPr>
                <w:rFonts w:hint="default" w:ascii="Times New Roman" w:hAnsi="Times New Roman" w:eastAsia="宋体" w:cs="Times New Roman"/>
                <w:sz w:val="24"/>
                <w:szCs w:val="24"/>
                <w:highlight w:val="none"/>
                <w:lang w:eastAsia="zh-CN"/>
              </w:rPr>
              <w:t>万</w:t>
            </w:r>
            <w:r>
              <w:rPr>
                <w:rFonts w:hint="default" w:ascii="Times New Roman" w:hAnsi="Times New Roman" w:eastAsia="宋体" w:cs="Times New Roman"/>
                <w:sz w:val="24"/>
                <w:szCs w:val="24"/>
                <w:highlight w:val="none"/>
                <w:lang w:val="en-US" w:eastAsia="zh-CN"/>
              </w:rPr>
              <w:t>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lang w:val="en-US" w:eastAsia="zh-CN"/>
              </w:rPr>
              <w:t>PC</w:t>
            </w:r>
            <w:r>
              <w:rPr>
                <w:rFonts w:hint="default" w:ascii="Times New Roman" w:hAnsi="Times New Roman" w:eastAsia="宋体" w:cs="Times New Roman"/>
                <w:sz w:val="24"/>
                <w:szCs w:val="24"/>
                <w:highlight w:val="none"/>
                <w:lang w:eastAsia="zh-CN"/>
              </w:rPr>
              <w:t>构件，依托搅拌楼年增产90万</w:t>
            </w:r>
            <w:r>
              <w:rPr>
                <w:rFonts w:hint="default" w:ascii="Times New Roman" w:hAnsi="Times New Roman" w:eastAsia="宋体" w:cs="Times New Roman"/>
                <w:sz w:val="24"/>
                <w:szCs w:val="24"/>
                <w:highlight w:val="none"/>
                <w:lang w:val="en-US" w:eastAsia="zh-CN"/>
              </w:rPr>
              <w:t>m</w:t>
            </w:r>
            <w:r>
              <w:rPr>
                <w:rFonts w:hint="eastAsia"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lang w:eastAsia="zh-CN"/>
              </w:rPr>
              <w:t>商品混凝土，仅作为制作免拆模板复合保温墙板、叠合楼板及</w:t>
            </w:r>
            <w:r>
              <w:rPr>
                <w:rFonts w:hint="default" w:ascii="Times New Roman" w:hAnsi="Times New Roman" w:eastAsia="宋体" w:cs="Times New Roman"/>
                <w:sz w:val="24"/>
                <w:szCs w:val="24"/>
                <w:highlight w:val="none"/>
                <w:lang w:val="en-US" w:eastAsia="zh-CN"/>
              </w:rPr>
              <w:t>PC</w:t>
            </w:r>
            <w:r>
              <w:rPr>
                <w:rFonts w:hint="default" w:ascii="Times New Roman" w:hAnsi="Times New Roman" w:eastAsia="宋体" w:cs="Times New Roman"/>
                <w:sz w:val="24"/>
                <w:szCs w:val="24"/>
                <w:highlight w:val="none"/>
                <w:lang w:eastAsia="zh-CN"/>
              </w:rPr>
              <w:t>原料。扩能后规模为年产100万</w:t>
            </w:r>
            <w:r>
              <w:rPr>
                <w:rFonts w:hint="default" w:ascii="Times New Roman" w:hAnsi="Times New Roman" w:eastAsia="宋体" w:cs="Times New Roman"/>
                <w:sz w:val="24"/>
                <w:szCs w:val="24"/>
                <w:highlight w:val="none"/>
                <w:lang w:val="en-US" w:eastAsia="zh-CN"/>
              </w:rPr>
              <w:t>m</w:t>
            </w:r>
            <w:r>
              <w:rPr>
                <w:rFonts w:hint="default" w:ascii="Times New Roman" w:hAnsi="Times New Roman" w:eastAsia="宋体" w:cs="Times New Roman"/>
                <w:sz w:val="24"/>
                <w:szCs w:val="24"/>
                <w:highlight w:val="none"/>
                <w:vertAlign w:val="superscript"/>
                <w:lang w:val="en-US" w:eastAsia="zh-CN"/>
              </w:rPr>
              <w:t>2</w:t>
            </w:r>
            <w:r>
              <w:rPr>
                <w:rFonts w:hint="default" w:ascii="Times New Roman" w:hAnsi="Times New Roman" w:eastAsia="宋体" w:cs="Times New Roman"/>
                <w:sz w:val="24"/>
                <w:szCs w:val="24"/>
                <w:highlight w:val="none"/>
                <w:lang w:eastAsia="zh-CN"/>
              </w:rPr>
              <w:t>免拆模板复合保温墙板、100万</w:t>
            </w:r>
            <w:r>
              <w:rPr>
                <w:rFonts w:hint="eastAsia" w:ascii="Times New Roman" w:hAnsi="Times New Roman" w:eastAsia="宋体" w:cs="Times New Roman"/>
                <w:sz w:val="24"/>
                <w:szCs w:val="24"/>
                <w:highlight w:val="none"/>
                <w:lang w:val="en-US" w:eastAsia="zh-CN"/>
              </w:rPr>
              <w:t>m</w:t>
            </w:r>
            <w:r>
              <w:rPr>
                <w:rFonts w:hint="eastAsia"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lang w:eastAsia="zh-CN"/>
              </w:rPr>
              <w:t>叠合楼板、5万</w:t>
            </w:r>
            <w:r>
              <w:rPr>
                <w:rFonts w:hint="default" w:ascii="Times New Roman" w:hAnsi="Times New Roman" w:eastAsia="宋体" w:cs="Times New Roman"/>
                <w:sz w:val="24"/>
                <w:szCs w:val="24"/>
                <w:highlight w:val="none"/>
                <w:lang w:val="en-US" w:eastAsia="zh-CN"/>
              </w:rPr>
              <w:t>m</w:t>
            </w:r>
            <w:r>
              <w:rPr>
                <w:rFonts w:hint="default" w:ascii="Times New Roman" w:hAnsi="Times New Roman" w:eastAsia="宋体" w:cs="Times New Roman"/>
                <w:sz w:val="24"/>
                <w:szCs w:val="24"/>
                <w:highlight w:val="none"/>
                <w:vertAlign w:val="superscript"/>
                <w:lang w:val="en-US" w:eastAsia="zh-CN"/>
              </w:rPr>
              <w:t>3</w:t>
            </w:r>
            <w:r>
              <w:rPr>
                <w:rFonts w:hint="eastAsia" w:ascii="Times New Roman" w:hAnsi="Times New Roman" w:eastAsia="宋体" w:cs="Times New Roman"/>
                <w:sz w:val="24"/>
                <w:szCs w:val="24"/>
                <w:highlight w:val="none"/>
                <w:vertAlign w:val="baseline"/>
                <w:lang w:val="en-US" w:eastAsia="zh-CN"/>
              </w:rPr>
              <w:t>PC</w:t>
            </w:r>
            <w:r>
              <w:rPr>
                <w:rFonts w:hint="default" w:ascii="Times New Roman" w:hAnsi="Times New Roman" w:eastAsia="宋体" w:cs="Times New Roman"/>
                <w:sz w:val="24"/>
                <w:szCs w:val="24"/>
                <w:highlight w:val="none"/>
                <w:lang w:eastAsia="zh-CN"/>
              </w:rPr>
              <w:t>构件、商品混凝土 95万m</w:t>
            </w:r>
            <w:r>
              <w:rPr>
                <w:rFonts w:hint="default" w:ascii="Times New Roman" w:hAnsi="Times New Roman" w:eastAsia="宋体" w:cs="Times New Roman"/>
                <w:sz w:val="24"/>
                <w:szCs w:val="24"/>
                <w:highlight w:val="none"/>
                <w:vertAlign w:val="superscript"/>
                <w:lang w:eastAsia="zh-CN"/>
              </w:rPr>
              <w:t>3</w:t>
            </w:r>
            <w:r>
              <w:rPr>
                <w:rFonts w:hint="default" w:ascii="Times New Roman" w:hAnsi="Times New Roman" w:eastAsia="宋体" w:cs="Times New Roman"/>
                <w:sz w:val="24"/>
                <w:szCs w:val="24"/>
                <w:highlight w:val="none"/>
                <w:lang w:eastAsia="zh-CN"/>
              </w:rPr>
              <w:t>。运营期免拆模板复合保温墙板生产工艺为：放置框架、开设凹槽</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eastAsia="zh-CN"/>
              </w:rPr>
              <w:t>耐碱玻纤网铺设保温内侧粘结加强层</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eastAsia="zh-CN"/>
              </w:rPr>
              <w:t>铺设加强钢筋网架</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eastAsia="zh-CN"/>
              </w:rPr>
              <w:t>铺设粘结层、保温过渡层</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eastAsia="zh-CN"/>
              </w:rPr>
              <w:t>聚合物水泥砂浆、保温砂浆、耐碱玻纤网铺设外侧粘结加强层</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eastAsia="zh-CN"/>
              </w:rPr>
              <w:t>自然养护</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eastAsia="zh-CN"/>
              </w:rPr>
              <w:t>复合保温板；叠合楼板生产工艺为：原材料投料</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eastAsia="zh-CN"/>
              </w:rPr>
              <w:t>配比搅拌</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eastAsia="zh-CN"/>
              </w:rPr>
              <w:t>划线</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eastAsia="zh-CN"/>
              </w:rPr>
              <w:t>安装预埋件、钢筋网、钢筋架</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eastAsia="zh-CN"/>
              </w:rPr>
              <w:t>浇筑</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eastAsia="zh-CN"/>
              </w:rPr>
              <w:t>震动</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eastAsia="zh-CN"/>
              </w:rPr>
              <w:t>拉毛</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eastAsia="zh-CN"/>
              </w:rPr>
              <w:t>养护</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eastAsia="zh-CN"/>
              </w:rPr>
              <w:t>吊装</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eastAsia="zh-CN"/>
              </w:rPr>
              <w:t>包装待售；</w:t>
            </w:r>
            <w:r>
              <w:rPr>
                <w:rFonts w:hint="default" w:ascii="Times New Roman" w:hAnsi="Times New Roman" w:eastAsia="宋体" w:cs="Times New Roman"/>
                <w:sz w:val="24"/>
                <w:szCs w:val="24"/>
                <w:highlight w:val="none"/>
                <w:lang w:val="en-US" w:eastAsia="zh-CN"/>
              </w:rPr>
              <w:t>PC</w:t>
            </w:r>
            <w:r>
              <w:rPr>
                <w:rFonts w:hint="default" w:ascii="Times New Roman" w:hAnsi="Times New Roman" w:eastAsia="宋体" w:cs="Times New Roman"/>
                <w:sz w:val="24"/>
                <w:szCs w:val="24"/>
                <w:highlight w:val="none"/>
                <w:lang w:eastAsia="zh-CN"/>
              </w:rPr>
              <w:t>构件生产工艺为：钢筋半成品切割、打磨</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eastAsia="zh-CN"/>
              </w:rPr>
              <w:t>骨架入膜（密闭生产车间）</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eastAsia="zh-CN"/>
              </w:rPr>
              <w:t>混凝土浇筑、振捣</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eastAsia="zh-CN"/>
              </w:rPr>
              <w:t>刮平</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eastAsia="zh-CN"/>
              </w:rPr>
              <w:t>蒸汽散热片预养</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eastAsia="zh-CN"/>
              </w:rPr>
              <w:t>抹面</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eastAsia="zh-CN"/>
              </w:rPr>
              <w:t>洒水养护</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eastAsia="zh-CN"/>
              </w:rPr>
              <w:t>拆模、清模、</w:t>
            </w:r>
            <w:r>
              <w:rPr>
                <w:rFonts w:hint="eastAsia" w:ascii="Times New Roman" w:hAnsi="Times New Roman" w:eastAsia="宋体" w:cs="Times New Roman"/>
                <w:sz w:val="24"/>
                <w:szCs w:val="24"/>
                <w:highlight w:val="none"/>
                <w:lang w:val="en-US" w:eastAsia="zh-CN"/>
              </w:rPr>
              <w:t>组</w:t>
            </w:r>
            <w:r>
              <w:rPr>
                <w:rFonts w:hint="default" w:ascii="Times New Roman" w:hAnsi="Times New Roman" w:eastAsia="宋体" w:cs="Times New Roman"/>
                <w:sz w:val="24"/>
                <w:szCs w:val="24"/>
                <w:highlight w:val="none"/>
                <w:lang w:eastAsia="zh-CN"/>
              </w:rPr>
              <w:t>模</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eastAsia="zh-CN"/>
              </w:rPr>
              <w:t>成品检查</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eastAsia="zh-CN"/>
              </w:rPr>
              <w:t>打号</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eastAsia="zh-CN"/>
              </w:rPr>
              <w:t>存放。项目总投资1亿元，其中环保投资125万元，占总投资1.25%。</w:t>
            </w:r>
          </w:p>
          <w:p>
            <w:pPr>
              <w:pStyle w:val="7"/>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left"/>
              <w:textAlignment w:val="auto"/>
              <w:rPr>
                <w:rFonts w:hint="default" w:ascii="Times New Roman" w:hAnsi="Times New Roman" w:eastAsia="宋体" w:cs="Times New Roman"/>
                <w:sz w:val="24"/>
                <w:szCs w:val="24"/>
                <w:highlight w:val="none"/>
                <w:lang w:eastAsia="zh-CN"/>
              </w:rPr>
            </w:pPr>
            <w:bookmarkStart w:id="6" w:name="bookmark8"/>
            <w:r>
              <w:rPr>
                <w:rFonts w:hint="default" w:ascii="Times New Roman" w:hAnsi="Times New Roman" w:eastAsia="宋体" w:cs="Times New Roman"/>
                <w:sz w:val="24"/>
                <w:szCs w:val="24"/>
                <w:highlight w:val="none"/>
                <w:lang w:eastAsia="zh-CN"/>
              </w:rPr>
              <w:t>三</w:t>
            </w:r>
            <w:bookmarkEnd w:id="6"/>
            <w:r>
              <w:rPr>
                <w:rFonts w:hint="default" w:ascii="Times New Roman" w:hAnsi="Times New Roman" w:eastAsia="宋体" w:cs="Times New Roman"/>
                <w:sz w:val="24"/>
                <w:szCs w:val="24"/>
                <w:highlight w:val="none"/>
                <w:lang w:eastAsia="zh-CN"/>
              </w:rPr>
              <w:t>、根据库尔勒经济技术开发区自然资源局</w:t>
            </w:r>
            <w:r>
              <w:rPr>
                <w:rFonts w:hint="eastAsia" w:ascii="Times New Roman" w:hAnsi="Times New Roman" w:eastAsia="宋体" w:cs="Times New Roman"/>
                <w:sz w:val="24"/>
                <w:szCs w:val="24"/>
                <w:highlight w:val="none"/>
                <w:lang w:val="en-US" w:eastAsia="zh-CN"/>
              </w:rPr>
              <w:t>出</w:t>
            </w:r>
            <w:r>
              <w:rPr>
                <w:rFonts w:hint="default" w:ascii="Times New Roman" w:hAnsi="Times New Roman" w:eastAsia="宋体" w:cs="Times New Roman"/>
                <w:sz w:val="24"/>
                <w:szCs w:val="24"/>
                <w:highlight w:val="none"/>
                <w:lang w:eastAsia="zh-CN"/>
              </w:rPr>
              <w:t>具的《用地证明》，该项目用地符合库尔勒经济技术开发区总体规划，位于土地利用总体规划确定的允许建设区。根据《中华人民共和国环境 影响评价法》及相关环保法律法规及产业政策规定，结合《绿色装配式建筑产业园扩建项目环境影响报告表》（以下简称《报告表》</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eastAsia="zh-CN"/>
              </w:rPr>
              <w:t>的评价结论、库尔勒经济技术开发区环境保护局《现场核查意见》。该项目必须符合库尔勒经济技术开发区修编后规划及规划环评要求，若不符合，需搬迁并重新开展环境影响评价工作。该项目在全面落实《报告表》提出的各项生态环境保护措施，满足国家生态环境保护相关法律法规和标准要求后，我局同意项目建设。</w:t>
            </w:r>
          </w:p>
          <w:p>
            <w:pPr>
              <w:pStyle w:val="7"/>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left"/>
              <w:textAlignment w:val="auto"/>
              <w:rPr>
                <w:rFonts w:hint="default" w:ascii="Times New Roman" w:hAnsi="Times New Roman" w:eastAsia="宋体" w:cs="Times New Roman"/>
                <w:sz w:val="24"/>
                <w:szCs w:val="24"/>
                <w:highlight w:val="none"/>
                <w:lang w:eastAsia="zh-CN"/>
              </w:rPr>
            </w:pPr>
            <w:bookmarkStart w:id="7" w:name="bookmark9"/>
            <w:r>
              <w:rPr>
                <w:rFonts w:hint="default" w:ascii="Times New Roman" w:hAnsi="Times New Roman" w:eastAsia="宋体" w:cs="Times New Roman"/>
                <w:sz w:val="24"/>
                <w:szCs w:val="24"/>
                <w:highlight w:val="none"/>
                <w:lang w:eastAsia="zh-CN"/>
              </w:rPr>
              <w:t>四</w:t>
            </w:r>
            <w:bookmarkEnd w:id="7"/>
            <w:r>
              <w:rPr>
                <w:rFonts w:hint="default" w:ascii="Times New Roman" w:hAnsi="Times New Roman" w:eastAsia="宋体" w:cs="Times New Roman"/>
                <w:sz w:val="24"/>
                <w:szCs w:val="24"/>
                <w:highlight w:val="none"/>
                <w:lang w:eastAsia="zh-CN"/>
              </w:rPr>
              <w:t>、在项目设计、建设、运营期要严格落实《报告表》中提出的各项污染防治措施、生态环境保护和风险防范措施，严格执行环保</w:t>
            </w:r>
            <w:r>
              <w:rPr>
                <w:rFonts w:hint="default" w:ascii="Times New Roman" w:hAnsi="Times New Roman" w:eastAsia="宋体" w:cs="Times New Roman"/>
                <w:sz w:val="24"/>
                <w:szCs w:val="24"/>
                <w:highlight w:val="none"/>
                <w:lang w:val="zh-CN" w:eastAsia="zh-CN"/>
              </w:rPr>
              <w:t>“三</w:t>
            </w:r>
            <w:r>
              <w:rPr>
                <w:rFonts w:hint="default" w:ascii="Times New Roman" w:hAnsi="Times New Roman" w:eastAsia="宋体" w:cs="Times New Roman"/>
                <w:sz w:val="24"/>
                <w:szCs w:val="24"/>
                <w:highlight w:val="none"/>
                <w:lang w:eastAsia="zh-CN"/>
              </w:rPr>
              <w:t>同时”制度，确保各类污染物稳定达标排放，固体废物妥善处置，生态环境得到有效保护，并重点做好下列工作：</w:t>
            </w:r>
          </w:p>
          <w:p>
            <w:pPr>
              <w:pStyle w:val="7"/>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left"/>
              <w:textAlignment w:val="auto"/>
              <w:rPr>
                <w:rFonts w:hint="default" w:ascii="Times New Roman" w:hAnsi="Times New Roman" w:eastAsia="宋体" w:cs="Times New Roman"/>
                <w:sz w:val="24"/>
                <w:szCs w:val="24"/>
                <w:highlight w:val="none"/>
                <w:lang w:eastAsia="zh-CN"/>
              </w:rPr>
            </w:pPr>
            <w:bookmarkStart w:id="8" w:name="bookmark10"/>
            <w:bookmarkEnd w:id="8"/>
            <w:r>
              <w:rPr>
                <w:rFonts w:hint="default" w:ascii="Times New Roman" w:hAnsi="Times New Roman" w:eastAsia="宋体" w:cs="Times New Roman"/>
                <w:sz w:val="24"/>
                <w:szCs w:val="24"/>
                <w:highlight w:val="none"/>
                <w:lang w:eastAsia="zh-CN"/>
              </w:rPr>
              <w:t>严格落实大气污染防治措施。商品混凝土与复合保温免拆保温模板物料输送储存工段及搅拌工段废气通过物料储料仓顶集气罩收集后经袋式除尘器处理，颗粒物排放浓度达到《水泥工业大气污染物排放标准》</w:t>
            </w:r>
            <w:r>
              <w:rPr>
                <w:rFonts w:hint="eastAsia"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GB4915-2013</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eastAsia="zh-CN"/>
              </w:rPr>
              <w:t>表2大气污染物特别排放限值后，经</w:t>
            </w:r>
            <w:r>
              <w:rPr>
                <w:rFonts w:hint="default" w:ascii="Times New Roman" w:hAnsi="Times New Roman" w:eastAsia="宋体" w:cs="Times New Roman"/>
                <w:sz w:val="24"/>
                <w:szCs w:val="24"/>
                <w:highlight w:val="none"/>
                <w:lang w:val="en-US" w:eastAsia="zh-CN"/>
              </w:rPr>
              <w:t>15m</w:t>
            </w:r>
            <w:r>
              <w:rPr>
                <w:rFonts w:hint="default" w:ascii="Times New Roman" w:hAnsi="Times New Roman" w:eastAsia="宋体" w:cs="Times New Roman"/>
                <w:sz w:val="24"/>
                <w:szCs w:val="24"/>
                <w:highlight w:val="none"/>
                <w:lang w:eastAsia="zh-CN"/>
              </w:rPr>
              <w:t>高排气筒排放；</w:t>
            </w:r>
          </w:p>
          <w:p>
            <w:pPr>
              <w:pStyle w:val="7"/>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left"/>
              <w:textAlignment w:val="auto"/>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加强环保设施运营管理，所有生产设施、生产活动原辅材料堆存必须在密闭式厂房内，并严格落实各项大气污染防治措施，原料堆场采取地面硬化、定期清扫并洒水抑尘等措施，减少粉尘排放</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eastAsia="zh-CN"/>
              </w:rPr>
              <w:t>确保厂界颗粒物排放浓度达到《水泥工业大气污染物排放标准》</w:t>
            </w:r>
            <w:r>
              <w:rPr>
                <w:rFonts w:hint="default" w:ascii="Times New Roman" w:hAnsi="Times New Roman" w:eastAsia="宋体" w:cs="Times New Roman"/>
                <w:sz w:val="24"/>
                <w:szCs w:val="24"/>
                <w:highlight w:val="none"/>
                <w:lang w:val="en-US" w:eastAsia="zh-CN"/>
              </w:rPr>
              <w:t>（GB4915-2013 ）</w:t>
            </w:r>
            <w:r>
              <w:rPr>
                <w:rFonts w:hint="default" w:ascii="Times New Roman" w:hAnsi="Times New Roman" w:eastAsia="宋体" w:cs="Times New Roman"/>
                <w:sz w:val="24"/>
                <w:szCs w:val="24"/>
                <w:highlight w:val="none"/>
                <w:lang w:eastAsia="zh-CN"/>
              </w:rPr>
              <w:t>表3无组织排放标准要求。</w:t>
            </w:r>
          </w:p>
          <w:p>
            <w:pPr>
              <w:pStyle w:val="7"/>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left"/>
              <w:textAlignment w:val="auto"/>
              <w:rPr>
                <w:rFonts w:hint="default" w:ascii="Times New Roman" w:hAnsi="Times New Roman" w:eastAsia="宋体" w:cs="Times New Roman"/>
                <w:sz w:val="24"/>
                <w:szCs w:val="24"/>
                <w:highlight w:val="none"/>
                <w:lang w:eastAsia="zh-CN"/>
              </w:rPr>
            </w:pPr>
            <w:bookmarkStart w:id="9" w:name="bookmark11"/>
            <w:r>
              <w:rPr>
                <w:rFonts w:hint="default" w:ascii="Times New Roman" w:hAnsi="Times New Roman" w:eastAsia="宋体" w:cs="Times New Roman"/>
                <w:sz w:val="24"/>
                <w:szCs w:val="24"/>
                <w:highlight w:val="none"/>
                <w:lang w:eastAsia="zh-CN"/>
              </w:rPr>
              <w:t>（</w:t>
            </w:r>
            <w:bookmarkEnd w:id="9"/>
            <w:r>
              <w:rPr>
                <w:rFonts w:hint="default" w:ascii="Times New Roman" w:hAnsi="Times New Roman" w:eastAsia="宋体" w:cs="Times New Roman"/>
                <w:sz w:val="24"/>
                <w:szCs w:val="24"/>
                <w:highlight w:val="none"/>
                <w:lang w:eastAsia="zh-CN"/>
              </w:rPr>
              <w:t>二）</w:t>
            </w:r>
            <w:r>
              <w:rPr>
                <w:rFonts w:hint="default" w:ascii="Times New Roman" w:hAnsi="Times New Roman" w:eastAsia="宋体" w:cs="Times New Roman"/>
                <w:sz w:val="24"/>
                <w:szCs w:val="24"/>
                <w:highlight w:val="none"/>
                <w:lang w:eastAsia="zh-CN"/>
              </w:rPr>
              <w:tab/>
            </w:r>
            <w:r>
              <w:rPr>
                <w:rFonts w:hint="default" w:ascii="Times New Roman" w:hAnsi="Times New Roman" w:eastAsia="宋体" w:cs="Times New Roman"/>
                <w:sz w:val="24"/>
                <w:szCs w:val="24"/>
                <w:highlight w:val="none"/>
                <w:lang w:eastAsia="zh-CN"/>
              </w:rPr>
              <w:t>严格落实噪声污染防治措施，对各类设备噪声源采取减振、隔声、消音等降噪措施，确保厂界噪声达到国家《工业企业厂界环境噪声排放标准》</w:t>
            </w:r>
            <w:r>
              <w:rPr>
                <w:rFonts w:hint="default" w:ascii="Times New Roman" w:hAnsi="Times New Roman" w:eastAsia="宋体" w:cs="Times New Roman"/>
                <w:sz w:val="24"/>
                <w:szCs w:val="24"/>
                <w:highlight w:val="none"/>
                <w:lang w:val="en-US" w:eastAsia="zh-CN"/>
              </w:rPr>
              <w:t>（GB12348-2008）</w:t>
            </w:r>
            <w:r>
              <w:rPr>
                <w:rFonts w:hint="default" w:ascii="Times New Roman" w:hAnsi="Times New Roman" w:eastAsia="宋体" w:cs="Times New Roman"/>
                <w:sz w:val="24"/>
                <w:szCs w:val="24"/>
                <w:highlight w:val="none"/>
                <w:lang w:eastAsia="zh-CN"/>
              </w:rPr>
              <w:t>中3类标准限值要求。</w:t>
            </w:r>
          </w:p>
          <w:p>
            <w:pPr>
              <w:pStyle w:val="7"/>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left"/>
              <w:textAlignment w:val="auto"/>
              <w:rPr>
                <w:rFonts w:hint="default" w:ascii="Times New Roman" w:hAnsi="Times New Roman" w:eastAsia="宋体" w:cs="Times New Roman"/>
                <w:sz w:val="24"/>
                <w:szCs w:val="24"/>
                <w:highlight w:val="none"/>
                <w:lang w:eastAsia="zh-CN"/>
              </w:rPr>
            </w:pPr>
            <w:bookmarkStart w:id="10" w:name="bookmark12"/>
            <w:r>
              <w:rPr>
                <w:rFonts w:hint="default" w:ascii="Times New Roman" w:hAnsi="Times New Roman" w:eastAsia="宋体" w:cs="Times New Roman"/>
                <w:sz w:val="24"/>
                <w:szCs w:val="24"/>
                <w:highlight w:val="none"/>
                <w:lang w:eastAsia="zh-CN"/>
              </w:rPr>
              <w:t>（</w:t>
            </w:r>
            <w:bookmarkEnd w:id="10"/>
            <w:r>
              <w:rPr>
                <w:rFonts w:hint="default" w:ascii="Times New Roman" w:hAnsi="Times New Roman" w:eastAsia="宋体" w:cs="Times New Roman"/>
                <w:sz w:val="24"/>
                <w:szCs w:val="24"/>
                <w:highlight w:val="none"/>
                <w:lang w:eastAsia="zh-CN"/>
              </w:rPr>
              <w:t>三）</w:t>
            </w:r>
            <w:r>
              <w:rPr>
                <w:rFonts w:hint="default" w:ascii="Times New Roman" w:hAnsi="Times New Roman" w:eastAsia="宋体" w:cs="Times New Roman"/>
                <w:sz w:val="24"/>
                <w:szCs w:val="24"/>
                <w:highlight w:val="none"/>
                <w:lang w:eastAsia="zh-CN"/>
              </w:rPr>
              <w:tab/>
            </w:r>
            <w:r>
              <w:rPr>
                <w:rFonts w:hint="default" w:ascii="Times New Roman" w:hAnsi="Times New Roman" w:eastAsia="宋体" w:cs="Times New Roman"/>
                <w:sz w:val="24"/>
                <w:szCs w:val="24"/>
                <w:highlight w:val="none"/>
                <w:lang w:eastAsia="zh-CN"/>
              </w:rPr>
              <w:t>严格落实水污染防治措施。搅拌机清洗废水、商品混凝土运输罐车清洗废水经二级沉淀后回用于生产，不外排；锅炉系统排水排入清洗水循环水池，经沉淀澄清后用于车辆清洗用水和沙石堆场降尘，不外排。</w:t>
            </w:r>
          </w:p>
          <w:p>
            <w:pPr>
              <w:pStyle w:val="7"/>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left"/>
              <w:textAlignment w:val="auto"/>
              <w:rPr>
                <w:rFonts w:hint="default" w:ascii="Times New Roman" w:hAnsi="Times New Roman" w:eastAsia="宋体" w:cs="Times New Roman"/>
                <w:sz w:val="24"/>
                <w:szCs w:val="24"/>
                <w:highlight w:val="none"/>
                <w:lang w:eastAsia="zh-CN"/>
              </w:rPr>
            </w:pPr>
            <w:bookmarkStart w:id="11" w:name="bookmark13"/>
            <w:r>
              <w:rPr>
                <w:rFonts w:hint="default" w:ascii="Times New Roman" w:hAnsi="Times New Roman" w:eastAsia="宋体" w:cs="Times New Roman"/>
                <w:sz w:val="24"/>
                <w:szCs w:val="24"/>
                <w:highlight w:val="none"/>
                <w:lang w:eastAsia="zh-CN"/>
              </w:rPr>
              <w:t>（</w:t>
            </w:r>
            <w:bookmarkEnd w:id="11"/>
            <w:r>
              <w:rPr>
                <w:rFonts w:hint="default" w:ascii="Times New Roman" w:hAnsi="Times New Roman" w:eastAsia="宋体" w:cs="Times New Roman"/>
                <w:sz w:val="24"/>
                <w:szCs w:val="24"/>
                <w:highlight w:val="none"/>
                <w:lang w:eastAsia="zh-CN"/>
              </w:rPr>
              <w:t>四）</w:t>
            </w:r>
            <w:r>
              <w:rPr>
                <w:rFonts w:hint="default" w:ascii="Times New Roman" w:hAnsi="Times New Roman" w:eastAsia="宋体" w:cs="Times New Roman"/>
                <w:sz w:val="24"/>
                <w:szCs w:val="24"/>
                <w:highlight w:val="none"/>
                <w:lang w:eastAsia="zh-CN"/>
              </w:rPr>
              <w:tab/>
            </w:r>
            <w:r>
              <w:rPr>
                <w:rFonts w:hint="default" w:ascii="Times New Roman" w:hAnsi="Times New Roman" w:eastAsia="宋体" w:cs="Times New Roman"/>
                <w:sz w:val="24"/>
                <w:szCs w:val="24"/>
                <w:highlight w:val="none"/>
                <w:lang w:eastAsia="zh-CN"/>
              </w:rPr>
              <w:t>严格落实固体废物污染防治措施，按照固体废物</w:t>
            </w:r>
            <w:r>
              <w:rPr>
                <w:rFonts w:hint="default" w:ascii="Times New Roman" w:hAnsi="Times New Roman" w:eastAsia="宋体" w:cs="Times New Roman"/>
                <w:sz w:val="24"/>
                <w:szCs w:val="24"/>
                <w:highlight w:val="none"/>
                <w:lang w:val="zh-CN" w:eastAsia="zh-CN"/>
              </w:rPr>
              <w:t>“减量</w:t>
            </w:r>
            <w:r>
              <w:rPr>
                <w:rFonts w:hint="default" w:ascii="Times New Roman" w:hAnsi="Times New Roman" w:eastAsia="宋体" w:cs="Times New Roman"/>
                <w:sz w:val="24"/>
                <w:szCs w:val="24"/>
                <w:highlight w:val="none"/>
                <w:lang w:eastAsia="zh-CN"/>
              </w:rPr>
              <w:t>化、资源化、无害化”原则进行处理。废弃的砂石料、循环水池产生的沉淀泥沙作为路面铺垫料或地面平整的填料综合利用；废树脂、除尘器废旧滤袋集中收集后交废旧物资回收部门；除尘器收集的粉尘回用于生产；废润滑油属于危险废物，严格按照《危险废物贮存污染控制标准》</w:t>
            </w:r>
            <w:r>
              <w:rPr>
                <w:rFonts w:hint="default" w:ascii="Times New Roman" w:hAnsi="Times New Roman" w:eastAsia="宋体" w:cs="Times New Roman"/>
                <w:sz w:val="24"/>
                <w:szCs w:val="24"/>
                <w:highlight w:val="none"/>
                <w:lang w:val="en-US" w:eastAsia="zh-CN"/>
              </w:rPr>
              <w:t>（GB18597-2023 ）</w:t>
            </w:r>
            <w:r>
              <w:rPr>
                <w:rFonts w:hint="default" w:ascii="Times New Roman" w:hAnsi="Times New Roman" w:eastAsia="宋体" w:cs="Times New Roman"/>
                <w:sz w:val="24"/>
                <w:szCs w:val="24"/>
                <w:highlight w:val="none"/>
                <w:lang w:eastAsia="zh-CN"/>
              </w:rPr>
              <w:t>、《中华人民共和国固体废物污染环境防治法》的有关要求，暂存于危险废物暂存间，定期委托有处置资质的单位进行规范化处置</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eastAsia="zh-CN"/>
              </w:rPr>
              <w:t>并严格执行危废环境管理计划和危废转移联单制度，建立固体废物环境管理台账；生活垃圾集中收集后交由环卫部门统一清运。</w:t>
            </w:r>
          </w:p>
          <w:p>
            <w:pPr>
              <w:pStyle w:val="7"/>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left"/>
              <w:textAlignment w:val="auto"/>
              <w:rPr>
                <w:rFonts w:hint="default" w:ascii="Times New Roman" w:hAnsi="Times New Roman" w:eastAsia="宋体" w:cs="Times New Roman"/>
                <w:sz w:val="24"/>
                <w:szCs w:val="24"/>
                <w:highlight w:val="none"/>
                <w:lang w:eastAsia="zh-CN"/>
              </w:rPr>
            </w:pPr>
            <w:bookmarkStart w:id="12" w:name="bookmark14"/>
            <w:r>
              <w:rPr>
                <w:rFonts w:hint="default" w:ascii="Times New Roman" w:hAnsi="Times New Roman" w:eastAsia="宋体" w:cs="Times New Roman"/>
                <w:sz w:val="24"/>
                <w:szCs w:val="24"/>
                <w:highlight w:val="none"/>
                <w:lang w:eastAsia="zh-CN"/>
              </w:rPr>
              <w:t>（</w:t>
            </w:r>
            <w:bookmarkEnd w:id="12"/>
            <w:r>
              <w:rPr>
                <w:rFonts w:hint="default" w:ascii="Times New Roman" w:hAnsi="Times New Roman" w:eastAsia="宋体" w:cs="Times New Roman"/>
                <w:sz w:val="24"/>
                <w:szCs w:val="24"/>
                <w:highlight w:val="none"/>
                <w:lang w:eastAsia="zh-CN"/>
              </w:rPr>
              <w:t>五）</w:t>
            </w:r>
            <w:r>
              <w:rPr>
                <w:rFonts w:hint="default" w:ascii="Times New Roman" w:hAnsi="Times New Roman" w:eastAsia="宋体" w:cs="Times New Roman"/>
                <w:sz w:val="24"/>
                <w:szCs w:val="24"/>
                <w:highlight w:val="none"/>
                <w:lang w:eastAsia="zh-CN"/>
              </w:rPr>
              <w:tab/>
            </w:r>
            <w:r>
              <w:rPr>
                <w:rFonts w:hint="default" w:ascii="Times New Roman" w:hAnsi="Times New Roman" w:eastAsia="宋体" w:cs="Times New Roman"/>
                <w:sz w:val="24"/>
                <w:szCs w:val="24"/>
                <w:highlight w:val="none"/>
                <w:lang w:eastAsia="zh-CN"/>
              </w:rPr>
              <w:t>严格按照报告表要求做好运营期废气和噪声环境监测，加强运营期生产管理，各类生产设备设施严格按照要求置于车间内</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eastAsia="zh-CN"/>
              </w:rPr>
              <w:t>严禁露天开展各类生产活动，减少污染物无组织排放。加强环保设施运行管理，做好各类运行记录；规范设置各类排污口，树立环保识别标志。</w:t>
            </w:r>
          </w:p>
          <w:p>
            <w:pPr>
              <w:pStyle w:val="7"/>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left"/>
              <w:textAlignment w:val="auto"/>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六）加强项目环境风险防范，严格按照《报告表》中的风险防范措施。制定突发环境污染事件应急预案。严格按照要求做好运营期各项环境监测，确保各类污染物稳定达标排放。建立完善的环保规章制度，做好突发环境事件应急预案编制（修订）等工作，并定期开展演练，有效防控环境风险。</w:t>
            </w:r>
          </w:p>
          <w:p>
            <w:pPr>
              <w:pStyle w:val="7"/>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left"/>
              <w:textAlignment w:val="auto"/>
              <w:rPr>
                <w:rFonts w:hint="default" w:ascii="Times New Roman" w:hAnsi="Times New Roman" w:eastAsia="宋体" w:cs="Times New Roman"/>
                <w:sz w:val="24"/>
                <w:szCs w:val="24"/>
                <w:highlight w:val="none"/>
                <w:lang w:eastAsia="zh-CN"/>
              </w:rPr>
            </w:pPr>
            <w:bookmarkStart w:id="13" w:name="bookmark15"/>
            <w:r>
              <w:rPr>
                <w:rFonts w:hint="default" w:ascii="Times New Roman" w:hAnsi="Times New Roman" w:eastAsia="宋体" w:cs="Times New Roman"/>
                <w:sz w:val="24"/>
                <w:szCs w:val="24"/>
                <w:highlight w:val="none"/>
                <w:lang w:eastAsia="zh-CN"/>
              </w:rPr>
              <w:t>五</w:t>
            </w:r>
            <w:bookmarkEnd w:id="13"/>
            <w:r>
              <w:rPr>
                <w:rFonts w:hint="default" w:ascii="Times New Roman" w:hAnsi="Times New Roman" w:eastAsia="宋体" w:cs="Times New Roman"/>
                <w:sz w:val="24"/>
                <w:szCs w:val="24"/>
                <w:highlight w:val="none"/>
                <w:lang w:eastAsia="zh-CN"/>
              </w:rPr>
              <w:t>、在工程施工和运营过程中，应建立畅通的公众参与平台，</w:t>
            </w:r>
            <w:r>
              <w:rPr>
                <w:rFonts w:hint="eastAsia" w:ascii="Times New Roman" w:hAnsi="Times New Roman" w:eastAsia="宋体" w:cs="Times New Roman"/>
                <w:sz w:val="24"/>
                <w:szCs w:val="24"/>
                <w:highlight w:val="none"/>
                <w:lang w:val="en-US" w:eastAsia="zh-CN"/>
              </w:rPr>
              <w:t>及</w:t>
            </w:r>
            <w:r>
              <w:rPr>
                <w:rFonts w:hint="default" w:ascii="Times New Roman" w:hAnsi="Times New Roman" w:eastAsia="宋体" w:cs="Times New Roman"/>
                <w:sz w:val="24"/>
                <w:szCs w:val="24"/>
                <w:highlight w:val="none"/>
                <w:lang w:eastAsia="zh-CN"/>
              </w:rPr>
              <w:t>时解决公众提出的环境问题，满足公众合理的环保诉求。定期发布企业环境信息，并主动接受社会监督。</w:t>
            </w:r>
          </w:p>
          <w:p>
            <w:pPr>
              <w:pStyle w:val="7"/>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left"/>
              <w:textAlignment w:val="auto"/>
              <w:rPr>
                <w:rFonts w:hint="default" w:ascii="Times New Roman" w:hAnsi="Times New Roman" w:eastAsia="宋体" w:cs="Times New Roman"/>
                <w:sz w:val="24"/>
                <w:szCs w:val="24"/>
                <w:highlight w:val="none"/>
                <w:lang w:eastAsia="zh-CN"/>
              </w:rPr>
            </w:pPr>
            <w:bookmarkStart w:id="14" w:name="bookmark16"/>
            <w:r>
              <w:rPr>
                <w:rFonts w:hint="default" w:ascii="Times New Roman" w:hAnsi="Times New Roman" w:eastAsia="宋体" w:cs="Times New Roman"/>
                <w:sz w:val="24"/>
                <w:szCs w:val="24"/>
                <w:highlight w:val="none"/>
                <w:lang w:eastAsia="zh-CN"/>
              </w:rPr>
              <w:t>六</w:t>
            </w:r>
            <w:bookmarkEnd w:id="14"/>
            <w:r>
              <w:rPr>
                <w:rFonts w:hint="default" w:ascii="Times New Roman" w:hAnsi="Times New Roman" w:eastAsia="宋体" w:cs="Times New Roman"/>
                <w:color w:val="auto"/>
                <w:sz w:val="24"/>
                <w:szCs w:val="24"/>
                <w:highlight w:val="none"/>
                <w:lang w:eastAsia="zh-CN"/>
              </w:rPr>
              <w:t>、项目运行期各类污染物排放总量严格执行《关于巴州轮台</w:t>
            </w:r>
            <w:r>
              <w:rPr>
                <w:rFonts w:hint="eastAsia" w:ascii="Times New Roman" w:hAnsi="Times New Roman" w:eastAsia="宋体" w:cs="Times New Roman"/>
                <w:color w:val="auto"/>
                <w:sz w:val="24"/>
                <w:szCs w:val="24"/>
                <w:highlight w:val="none"/>
                <w:lang w:val="en-US" w:eastAsia="zh-CN"/>
              </w:rPr>
              <w:t>县</w:t>
            </w:r>
            <w:r>
              <w:rPr>
                <w:rFonts w:hint="default" w:ascii="Times New Roman" w:hAnsi="Times New Roman" w:eastAsia="宋体" w:cs="Times New Roman"/>
                <w:color w:val="auto"/>
                <w:sz w:val="24"/>
                <w:szCs w:val="24"/>
                <w:highlight w:val="none"/>
                <w:lang w:eastAsia="zh-CN"/>
              </w:rPr>
              <w:t>市政管网及公共服务基础设施建设项目主要污染物排放总量控制指标核定的函》（巴环总量函〔2022〕54号）核定的指标：氮氧化物排污许可量为</w:t>
            </w:r>
            <w:r>
              <w:rPr>
                <w:rFonts w:hint="default" w:ascii="Times New Roman" w:hAnsi="Times New Roman" w:eastAsia="宋体" w:cs="Times New Roman"/>
                <w:color w:val="auto"/>
                <w:sz w:val="24"/>
                <w:szCs w:val="24"/>
                <w:highlight w:val="none"/>
                <w:lang w:val="en-US" w:eastAsia="zh-CN"/>
              </w:rPr>
              <w:t>0.717</w:t>
            </w:r>
            <w:r>
              <w:rPr>
                <w:rFonts w:hint="default" w:ascii="Times New Roman" w:hAnsi="Times New Roman" w:eastAsia="宋体" w:cs="Times New Roman"/>
                <w:color w:val="auto"/>
                <w:sz w:val="24"/>
                <w:szCs w:val="24"/>
                <w:highlight w:val="none"/>
                <w:lang w:eastAsia="zh-CN"/>
              </w:rPr>
              <w:t>吨/年。</w:t>
            </w:r>
          </w:p>
          <w:p>
            <w:pPr>
              <w:pStyle w:val="7"/>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left"/>
              <w:textAlignment w:val="auto"/>
              <w:rPr>
                <w:rFonts w:hint="default" w:ascii="Times New Roman" w:hAnsi="Times New Roman" w:eastAsia="宋体" w:cs="Times New Roman"/>
                <w:sz w:val="24"/>
                <w:szCs w:val="24"/>
                <w:highlight w:val="none"/>
                <w:lang w:eastAsia="zh-CN"/>
              </w:rPr>
            </w:pPr>
            <w:bookmarkStart w:id="15" w:name="bookmark17"/>
            <w:r>
              <w:rPr>
                <w:rFonts w:hint="default" w:ascii="Times New Roman" w:hAnsi="Times New Roman" w:eastAsia="宋体" w:cs="Times New Roman"/>
                <w:sz w:val="24"/>
                <w:szCs w:val="24"/>
                <w:highlight w:val="none"/>
                <w:lang w:eastAsia="zh-CN"/>
              </w:rPr>
              <w:t>七</w:t>
            </w:r>
            <w:bookmarkEnd w:id="15"/>
            <w:r>
              <w:rPr>
                <w:rFonts w:hint="default" w:ascii="Times New Roman" w:hAnsi="Times New Roman" w:eastAsia="宋体" w:cs="Times New Roman"/>
                <w:sz w:val="24"/>
                <w:szCs w:val="24"/>
                <w:highlight w:val="none"/>
                <w:lang w:eastAsia="zh-CN"/>
              </w:rPr>
              <w:t>、你公司应落实生态环境保护主体责任，建立内部生态</w:t>
            </w:r>
            <w:r>
              <w:rPr>
                <w:rFonts w:hint="eastAsia" w:ascii="Times New Roman" w:hAnsi="Times New Roman" w:eastAsia="宋体" w:cs="Times New Roman"/>
                <w:sz w:val="24"/>
                <w:szCs w:val="24"/>
                <w:highlight w:val="none"/>
                <w:lang w:val="en-US" w:eastAsia="zh-CN"/>
              </w:rPr>
              <w:t>环境</w:t>
            </w:r>
            <w:r>
              <w:rPr>
                <w:rFonts w:hint="default" w:ascii="Times New Roman" w:hAnsi="Times New Roman" w:eastAsia="宋体" w:cs="Times New Roman"/>
                <w:sz w:val="24"/>
                <w:szCs w:val="24"/>
                <w:highlight w:val="none"/>
                <w:lang w:eastAsia="zh-CN"/>
              </w:rPr>
              <w:t>管理体系，明确机构、人员职责和管理制度，加强管理，确保各项生态环境保护措施落实。项目建成后，按规定申请排污许可证并组织竣工环保</w:t>
            </w:r>
            <w:r>
              <w:rPr>
                <w:rFonts w:hint="default" w:ascii="Times New Roman" w:hAnsi="Times New Roman" w:eastAsia="宋体" w:cs="Times New Roman"/>
                <w:sz w:val="24"/>
                <w:szCs w:val="24"/>
                <w:highlight w:val="none"/>
                <w:lang w:val="zh-CN" w:eastAsia="zh-CN"/>
              </w:rPr>
              <w:t>“三</w:t>
            </w:r>
            <w:r>
              <w:rPr>
                <w:rFonts w:hint="default" w:ascii="Times New Roman" w:hAnsi="Times New Roman" w:eastAsia="宋体" w:cs="Times New Roman"/>
                <w:sz w:val="24"/>
                <w:szCs w:val="24"/>
                <w:highlight w:val="none"/>
                <w:lang w:eastAsia="zh-CN"/>
              </w:rPr>
              <w:t>同时”自主验收。如项目发生重大变动，环评文件须报有审批权的生态环境部门重新审批。自环评文件批准之日起满5年，工程方决定开工建设，环评文件应当报我局重新审核</w:t>
            </w:r>
          </w:p>
          <w:p>
            <w:pPr>
              <w:pStyle w:val="7"/>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left"/>
              <w:textAlignment w:val="auto"/>
              <w:rPr>
                <w:rFonts w:hint="default" w:ascii="Times New Roman" w:hAnsi="Times New Roman" w:eastAsia="宋体" w:cs="Times New Roman"/>
                <w:sz w:val="24"/>
                <w:szCs w:val="24"/>
                <w:highlight w:val="none"/>
                <w:lang w:eastAsia="zh-CN"/>
              </w:rPr>
            </w:pPr>
            <w:bookmarkStart w:id="16" w:name="bookmark18"/>
            <w:r>
              <w:rPr>
                <w:rFonts w:hint="default" w:ascii="Times New Roman" w:hAnsi="Times New Roman" w:eastAsia="宋体" w:cs="Times New Roman"/>
                <w:sz w:val="24"/>
                <w:szCs w:val="24"/>
                <w:highlight w:val="none"/>
                <w:lang w:eastAsia="zh-CN"/>
              </w:rPr>
              <w:t>八</w:t>
            </w:r>
            <w:bookmarkEnd w:id="16"/>
            <w:r>
              <w:rPr>
                <w:rFonts w:hint="default" w:ascii="Times New Roman" w:hAnsi="Times New Roman" w:eastAsia="宋体" w:cs="Times New Roman"/>
                <w:sz w:val="24"/>
                <w:szCs w:val="24"/>
                <w:highlight w:val="none"/>
                <w:lang w:eastAsia="zh-CN"/>
              </w:rPr>
              <w:t>、库尔勒经济技术开发区环境保护局要切实承担事中事后监管主要责任，履行属地监管职责，按照《关于进一步完善建设项目环境保护</w:t>
            </w:r>
            <w:r>
              <w:rPr>
                <w:rFonts w:hint="default" w:ascii="Times New Roman" w:hAnsi="Times New Roman" w:eastAsia="宋体" w:cs="Times New Roman"/>
                <w:sz w:val="24"/>
                <w:szCs w:val="24"/>
                <w:highlight w:val="none"/>
                <w:lang w:val="zh-CN" w:eastAsia="zh-CN"/>
              </w:rPr>
              <w:t>“三</w:t>
            </w:r>
            <w:r>
              <w:rPr>
                <w:rFonts w:hint="default" w:ascii="Times New Roman" w:hAnsi="Times New Roman" w:eastAsia="宋体" w:cs="Times New Roman"/>
                <w:sz w:val="24"/>
                <w:szCs w:val="24"/>
                <w:highlight w:val="none"/>
                <w:lang w:eastAsia="zh-CN"/>
              </w:rPr>
              <w:t>同时”及竣工环境保护自主验收监管工作机制的意见》（环执法〔2021〕70号）要求，加强</w:t>
            </w:r>
            <w:r>
              <w:rPr>
                <w:rFonts w:hint="eastAsia" w:ascii="Times New Roman" w:hAnsi="Times New Roman" w:eastAsia="宋体" w:cs="Times New Roman"/>
                <w:sz w:val="24"/>
                <w:szCs w:val="24"/>
                <w:highlight w:val="none"/>
                <w:lang w:val="en-US" w:eastAsia="zh-CN"/>
              </w:rPr>
              <w:t>对</w:t>
            </w:r>
            <w:r>
              <w:rPr>
                <w:rFonts w:hint="default" w:ascii="Times New Roman" w:hAnsi="Times New Roman" w:eastAsia="宋体" w:cs="Times New Roman"/>
                <w:sz w:val="24"/>
                <w:szCs w:val="24"/>
                <w:highlight w:val="none"/>
                <w:lang w:eastAsia="zh-CN"/>
              </w:rPr>
              <w:t>该项目环境保护</w:t>
            </w:r>
            <w:r>
              <w:rPr>
                <w:rFonts w:hint="default" w:ascii="Times New Roman" w:hAnsi="Times New Roman" w:eastAsia="宋体" w:cs="Times New Roman"/>
                <w:sz w:val="24"/>
                <w:szCs w:val="24"/>
                <w:highlight w:val="none"/>
                <w:lang w:val="zh-CN" w:eastAsia="zh-CN"/>
              </w:rPr>
              <w:t>“三</w:t>
            </w:r>
            <w:r>
              <w:rPr>
                <w:rFonts w:hint="default" w:ascii="Times New Roman" w:hAnsi="Times New Roman" w:eastAsia="宋体" w:cs="Times New Roman"/>
                <w:sz w:val="24"/>
                <w:szCs w:val="24"/>
                <w:highlight w:val="none"/>
                <w:lang w:eastAsia="zh-CN"/>
              </w:rPr>
              <w:t>同时”及自主验收监管工作，巴州生态环境保护综合行政执法支队不定期抽查。</w:t>
            </w:r>
          </w:p>
          <w:p>
            <w:pPr>
              <w:pStyle w:val="7"/>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left"/>
              <w:textAlignment w:val="auto"/>
              <w:rPr>
                <w:rFonts w:hint="default" w:ascii="Times New Roman" w:hAnsi="Times New Roman" w:eastAsia="宋体" w:cs="Times New Roman"/>
                <w:sz w:val="24"/>
                <w:szCs w:val="24"/>
                <w:highlight w:val="none"/>
                <w:lang w:eastAsia="zh-CN"/>
              </w:rPr>
            </w:pPr>
            <w:bookmarkStart w:id="17" w:name="bookmark19"/>
            <w:r>
              <w:rPr>
                <w:rFonts w:hint="default" w:ascii="Times New Roman" w:hAnsi="Times New Roman" w:eastAsia="宋体" w:cs="Times New Roman"/>
                <w:sz w:val="24"/>
                <w:szCs w:val="24"/>
                <w:highlight w:val="none"/>
                <w:lang w:eastAsia="zh-CN"/>
              </w:rPr>
              <w:t>九</w:t>
            </w:r>
            <w:bookmarkEnd w:id="17"/>
            <w:r>
              <w:rPr>
                <w:rFonts w:hint="default" w:ascii="Times New Roman" w:hAnsi="Times New Roman" w:eastAsia="宋体" w:cs="Times New Roman"/>
                <w:sz w:val="24"/>
                <w:szCs w:val="24"/>
                <w:highlight w:val="none"/>
                <w:lang w:eastAsia="zh-CN"/>
              </w:rPr>
              <w:t>、本项目实施过程中，如有新颁布的生态环境保护政策规范涉及本项目，应及时调整建设方案，严格执行新的管控要求。</w:t>
            </w:r>
          </w:p>
          <w:p>
            <w:pPr>
              <w:pStyle w:val="7"/>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left"/>
              <w:textAlignment w:val="auto"/>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十、你公司在收到本批复后20个工作日内，将批准后的报告书送至库尔勒经济技术开发区环境保护局，并按规定接受各级生态环境行政主管部门的监督检查。</w:t>
            </w:r>
          </w:p>
          <w:p>
            <w:pPr>
              <w:pStyle w:val="7"/>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right"/>
              <w:textAlignment w:val="auto"/>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巴州生态环境局</w:t>
            </w:r>
          </w:p>
          <w:p>
            <w:pPr>
              <w:pStyle w:val="7"/>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right"/>
              <w:textAlignment w:val="auto"/>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2023年3月30日</w:t>
            </w:r>
          </w:p>
        </w:tc>
      </w:tr>
    </w:tbl>
    <w:p>
      <w:pPr>
        <w:pStyle w:val="3"/>
        <w:spacing w:before="0" w:after="0" w:line="240" w:lineRule="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表</w:t>
      </w:r>
      <w:r>
        <w:rPr>
          <w:rFonts w:hint="default" w:ascii="Times New Roman" w:hAnsi="Times New Roman" w:eastAsia="宋体" w:cs="Times New Roman"/>
          <w:sz w:val="24"/>
          <w:highlight w:val="none"/>
          <w:lang w:eastAsia="zh-CN"/>
        </w:rPr>
        <w:t>五</w:t>
      </w:r>
      <w:r>
        <w:rPr>
          <w:rFonts w:hint="default" w:ascii="Times New Roman" w:hAnsi="Times New Roman" w:eastAsia="宋体" w:cs="Times New Roman"/>
          <w:color w:val="auto"/>
          <w:sz w:val="24"/>
          <w:highlight w:val="none"/>
          <w:lang w:val="en-US" w:eastAsia="zh-CN"/>
        </w:rPr>
        <w:t>验收监测质量保证及质量控制</w:t>
      </w:r>
    </w:p>
    <w:tbl>
      <w:tblPr>
        <w:tblStyle w:val="23"/>
        <w:tblW w:w="8522"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2354" w:hRule="atLeast"/>
        </w:trPr>
        <w:tc>
          <w:tcPr>
            <w:tcW w:w="8522" w:type="dxa"/>
          </w:tcPr>
          <w:p>
            <w:pPr>
              <w:numPr>
                <w:ilvl w:val="0"/>
                <w:numId w:val="6"/>
              </w:numPr>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监测分析方法及仪器等情况</w:t>
            </w:r>
          </w:p>
          <w:p>
            <w:pPr>
              <w:keepNext w:val="0"/>
              <w:keepLines w:val="0"/>
              <w:widowControl/>
              <w:suppressLineNumbers w:val="0"/>
              <w:adjustRightInd w:val="0"/>
              <w:snapToGrid w:val="0"/>
              <w:spacing w:before="200" w:beforeAutospacing="0" w:after="0" w:afterAutospacing="0"/>
              <w:ind w:left="0" w:right="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表5-1废气检测分析方法及仪器等情况一览表    单位：mg/m</w:t>
            </w:r>
            <w:r>
              <w:rPr>
                <w:rFonts w:hint="default" w:ascii="Times New Roman" w:hAnsi="Times New Roman" w:eastAsia="宋体" w:cs="Times New Roman"/>
                <w:b/>
                <w:bCs/>
                <w:color w:val="auto"/>
                <w:vertAlign w:val="superscript"/>
                <w:lang w:val="en-US" w:eastAsia="zh-CN"/>
              </w:rPr>
              <w:t>3</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626"/>
              <w:gridCol w:w="1368"/>
              <w:gridCol w:w="3181"/>
              <w:gridCol w:w="1764"/>
              <w:gridCol w:w="1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01" w:hRule="atLeast"/>
                <w:tblHeader/>
                <w:jc w:val="center"/>
              </w:trPr>
              <w:tc>
                <w:tcPr>
                  <w:tcW w:w="377"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类别</w:t>
                  </w:r>
                </w:p>
              </w:tc>
              <w:tc>
                <w:tcPr>
                  <w:tcW w:w="824"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检测项目</w:t>
                  </w:r>
                </w:p>
              </w:tc>
              <w:tc>
                <w:tcPr>
                  <w:tcW w:w="1917"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监测</w:t>
                  </w:r>
                  <w:r>
                    <w:rPr>
                      <w:rFonts w:hint="default" w:ascii="Times New Roman" w:hAnsi="Times New Roman" w:eastAsia="宋体" w:cs="Times New Roman"/>
                      <w:color w:val="auto"/>
                      <w:highlight w:val="none"/>
                    </w:rPr>
                    <w:t>方法及依据</w:t>
                  </w:r>
                </w:p>
              </w:tc>
              <w:tc>
                <w:tcPr>
                  <w:tcW w:w="1063"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所用仪器</w:t>
                  </w:r>
                </w:p>
              </w:tc>
              <w:tc>
                <w:tcPr>
                  <w:tcW w:w="816"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4" w:hRule="atLeast"/>
                <w:tblHeader/>
                <w:jc w:val="center"/>
              </w:trPr>
              <w:tc>
                <w:tcPr>
                  <w:tcW w:w="377"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无组织废气</w:t>
                  </w:r>
                </w:p>
              </w:tc>
              <w:tc>
                <w:tcPr>
                  <w:tcW w:w="824"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颗粒物</w:t>
                  </w:r>
                </w:p>
              </w:tc>
              <w:tc>
                <w:tcPr>
                  <w:tcW w:w="1917" w:type="pct"/>
                  <w:noWrap w:val="0"/>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环境空气和废气 </w:t>
                  </w:r>
                  <w:r>
                    <w:rPr>
                      <w:rFonts w:hint="default" w:ascii="Times New Roman" w:hAnsi="Times New Roman" w:eastAsia="宋体" w:cs="Times New Roman"/>
                      <w:color w:val="000000" w:themeColor="text1"/>
                      <w:szCs w:val="21"/>
                      <w:lang w:eastAsia="zh-CN"/>
                      <w14:textFill>
                        <w14:solidFill>
                          <w14:schemeClr w14:val="tx1"/>
                        </w14:solidFill>
                      </w14:textFill>
                    </w:rPr>
                    <w:t>颗粒物</w:t>
                  </w: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的测定 重量法 </w:t>
                  </w: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GB/T15432-1995</w:t>
                  </w:r>
                </w:p>
              </w:tc>
              <w:tc>
                <w:tcPr>
                  <w:tcW w:w="1063" w:type="pct"/>
                  <w:noWrap w:val="0"/>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ME55分析天平、恒温恒湿箱</w:t>
                  </w:r>
                </w:p>
              </w:tc>
              <w:tc>
                <w:tcPr>
                  <w:tcW w:w="816" w:type="pct"/>
                  <w:noWrap w:val="0"/>
                  <w:vAlign w:val="center"/>
                </w:tcPr>
                <w:p>
                  <w:pPr>
                    <w:adjustRightInd w:val="0"/>
                    <w:snapToGrid w:val="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0.001mg/m</w:t>
                  </w:r>
                  <w:r>
                    <w:rPr>
                      <w:rFonts w:hint="default" w:ascii="Times New Roman" w:hAnsi="Times New Roman" w:eastAsia="宋体" w:cs="Times New Roman"/>
                      <w:b w:val="0"/>
                      <w:bCs w:val="0"/>
                      <w:color w:val="000000" w:themeColor="text1"/>
                      <w:kern w:val="0"/>
                      <w:sz w:val="21"/>
                      <w:szCs w:val="21"/>
                      <w:vertAlign w:val="superscript"/>
                      <w:lang w:val="en-US" w:eastAsia="zh-CN" w:bidi="ar-SA"/>
                      <w14:textFill>
                        <w14:solidFill>
                          <w14:schemeClr w14:val="tx1"/>
                        </w14:solidFill>
                      </w14:textFill>
                    </w:rPr>
                    <w:t>3</w:t>
                  </w:r>
                </w:p>
              </w:tc>
            </w:tr>
          </w:tbl>
          <w:p>
            <w:pPr>
              <w:keepNext w:val="0"/>
              <w:keepLines w:val="0"/>
              <w:widowControl/>
              <w:suppressLineNumbers w:val="0"/>
              <w:adjustRightInd w:val="0"/>
              <w:snapToGrid w:val="0"/>
              <w:spacing w:before="200" w:beforeAutospacing="0" w:after="0" w:afterAutospacing="0"/>
              <w:ind w:left="0" w:right="0"/>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表5-2噪声检测方法及仪器等情况一览表</w:t>
            </w:r>
          </w:p>
          <w:tbl>
            <w:tblPr>
              <w:tblStyle w:val="24"/>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8"/>
              <w:gridCol w:w="2402"/>
              <w:gridCol w:w="2687"/>
              <w:gridCol w:w="1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8" w:type="dxa"/>
                  <w:tcBorders>
                    <w:tl2br w:val="nil"/>
                    <w:tr2bl w:val="nil"/>
                  </w:tcBorders>
                  <w:vAlign w:val="center"/>
                </w:tcPr>
                <w:p>
                  <w:pPr>
                    <w:pStyle w:val="32"/>
                    <w:widowControl/>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检测项目</w:t>
                  </w:r>
                </w:p>
              </w:tc>
              <w:tc>
                <w:tcPr>
                  <w:tcW w:w="2402" w:type="dxa"/>
                  <w:tcBorders>
                    <w:tl2br w:val="nil"/>
                    <w:tr2bl w:val="nil"/>
                  </w:tcBorders>
                  <w:vAlign w:val="center"/>
                </w:tcPr>
                <w:p>
                  <w:pPr>
                    <w:pStyle w:val="32"/>
                    <w:widowControl/>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检测方法及依据</w:t>
                  </w:r>
                </w:p>
              </w:tc>
              <w:tc>
                <w:tcPr>
                  <w:tcW w:w="2687" w:type="dxa"/>
                  <w:tcBorders>
                    <w:tl2br w:val="nil"/>
                    <w:tr2bl w:val="nil"/>
                  </w:tcBorders>
                  <w:vAlign w:val="center"/>
                </w:tcPr>
                <w:p>
                  <w:pPr>
                    <w:pStyle w:val="32"/>
                    <w:widowControl/>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仪器名称、型号</w:t>
                  </w:r>
                </w:p>
              </w:tc>
              <w:tc>
                <w:tcPr>
                  <w:tcW w:w="1729" w:type="dxa"/>
                  <w:tcBorders>
                    <w:tl2br w:val="nil"/>
                    <w:tr2bl w:val="nil"/>
                  </w:tcBorders>
                  <w:vAlign w:val="center"/>
                </w:tcPr>
                <w:p>
                  <w:pPr>
                    <w:pStyle w:val="32"/>
                    <w:widowControl/>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8" w:type="dxa"/>
                  <w:tcBorders>
                    <w:tl2br w:val="nil"/>
                    <w:tr2bl w:val="nil"/>
                  </w:tcBorders>
                  <w:vAlign w:val="center"/>
                </w:tcPr>
                <w:p>
                  <w:pPr>
                    <w:pStyle w:val="32"/>
                    <w:widowControl/>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工业企业厂界噪声</w:t>
                  </w:r>
                </w:p>
              </w:tc>
              <w:tc>
                <w:tcPr>
                  <w:tcW w:w="2402" w:type="dxa"/>
                  <w:tcBorders>
                    <w:tl2br w:val="nil"/>
                    <w:tr2bl w:val="nil"/>
                  </w:tcBorders>
                  <w:vAlign w:val="center"/>
                </w:tcPr>
                <w:p>
                  <w:pPr>
                    <w:pStyle w:val="32"/>
                    <w:widowControl/>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《工业企业厂界环境噪声排放标准》（GB12348-2008）</w:t>
                  </w:r>
                </w:p>
              </w:tc>
              <w:tc>
                <w:tcPr>
                  <w:tcW w:w="2687" w:type="dxa"/>
                  <w:tcBorders>
                    <w:tl2br w:val="nil"/>
                    <w:tr2bl w:val="nil"/>
                  </w:tcBorders>
                  <w:vAlign w:val="center"/>
                </w:tcPr>
                <w:p>
                  <w:pPr>
                    <w:pStyle w:val="32"/>
                    <w:widowControl/>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AWA6228+</w:t>
                  </w:r>
                </w:p>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AWA6221B</w:t>
                  </w:r>
                </w:p>
              </w:tc>
              <w:tc>
                <w:tcPr>
                  <w:tcW w:w="1729" w:type="dxa"/>
                  <w:tcBorders>
                    <w:tl2br w:val="nil"/>
                    <w:tr2bl w:val="nil"/>
                  </w:tcBorders>
                  <w:vAlign w:val="center"/>
                </w:tcPr>
                <w:p>
                  <w:pPr>
                    <w:pStyle w:val="32"/>
                    <w:widowControl/>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w:t>
                  </w:r>
                </w:p>
              </w:tc>
            </w:tr>
          </w:tbl>
          <w:p>
            <w:pPr>
              <w:keepNext w:val="0"/>
              <w:keepLines w:val="0"/>
              <w:widowControl/>
              <w:suppressLineNumbers w:val="0"/>
              <w:adjustRightInd w:val="0"/>
              <w:snapToGrid w:val="0"/>
              <w:spacing w:before="200" w:beforeAutospacing="0" w:after="0" w:afterAutospacing="0"/>
              <w:ind w:left="0" w:right="0"/>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表5-3废水分析方法及仪器等情况一览表</w:t>
            </w:r>
          </w:p>
          <w:tbl>
            <w:tblPr>
              <w:tblStyle w:val="2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597"/>
              <w:gridCol w:w="1381"/>
              <w:gridCol w:w="3209"/>
              <w:gridCol w:w="1767"/>
              <w:gridCol w:w="1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624" w:hRule="atLeast"/>
                <w:tblHeader/>
                <w:jc w:val="center"/>
              </w:trPr>
              <w:tc>
                <w:tcPr>
                  <w:tcW w:w="360"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类别</w:t>
                  </w:r>
                </w:p>
              </w:tc>
              <w:tc>
                <w:tcPr>
                  <w:tcW w:w="832"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检测项目</w:t>
                  </w:r>
                </w:p>
              </w:tc>
              <w:tc>
                <w:tcPr>
                  <w:tcW w:w="1934"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监测方法及依据</w:t>
                  </w:r>
                </w:p>
              </w:tc>
              <w:tc>
                <w:tcPr>
                  <w:tcW w:w="1065"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所用仪器</w:t>
                  </w:r>
                </w:p>
              </w:tc>
              <w:tc>
                <w:tcPr>
                  <w:tcW w:w="807"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624" w:hRule="atLeast"/>
                <w:jc w:val="center"/>
              </w:trPr>
              <w:tc>
                <w:tcPr>
                  <w:tcW w:w="360" w:type="pct"/>
                  <w:vMerge w:val="restar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废水</w:t>
                  </w:r>
                </w:p>
              </w:tc>
              <w:tc>
                <w:tcPr>
                  <w:tcW w:w="832"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pH</w:t>
                  </w:r>
                </w:p>
              </w:tc>
              <w:tc>
                <w:tcPr>
                  <w:tcW w:w="1934"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水质 pH值的测定 电极法</w:t>
                  </w:r>
                  <w:r>
                    <w:rPr>
                      <w:rFonts w:hint="default" w:ascii="Times New Roman" w:hAnsi="Times New Roman" w:eastAsia="宋体" w:cs="Times New Roman"/>
                      <w:lang w:val="en-US" w:eastAsia="zh-CN"/>
                    </w:rPr>
                    <w:t>HJ1147-2020</w:t>
                  </w:r>
                </w:p>
              </w:tc>
              <w:tc>
                <w:tcPr>
                  <w:tcW w:w="1065"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Phs-3E酸度计</w:t>
                  </w:r>
                </w:p>
              </w:tc>
              <w:tc>
                <w:tcPr>
                  <w:tcW w:w="807"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624" w:hRule="atLeast"/>
                <w:jc w:val="center"/>
              </w:trPr>
              <w:tc>
                <w:tcPr>
                  <w:tcW w:w="360"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rPr>
                  </w:pPr>
                </w:p>
              </w:tc>
              <w:tc>
                <w:tcPr>
                  <w:tcW w:w="832"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化学需氧量</w:t>
                  </w:r>
                </w:p>
              </w:tc>
              <w:tc>
                <w:tcPr>
                  <w:tcW w:w="1934"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水质 化学需氧量的测定 重铬酸盐法  HJ 828-2017</w:t>
                  </w:r>
                </w:p>
              </w:tc>
              <w:tc>
                <w:tcPr>
                  <w:tcW w:w="1065"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滴定管</w:t>
                  </w:r>
                </w:p>
              </w:tc>
              <w:tc>
                <w:tcPr>
                  <w:tcW w:w="807"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624" w:hRule="atLeast"/>
                <w:jc w:val="center"/>
              </w:trPr>
              <w:tc>
                <w:tcPr>
                  <w:tcW w:w="360"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rPr>
                  </w:pPr>
                </w:p>
              </w:tc>
              <w:tc>
                <w:tcPr>
                  <w:tcW w:w="832"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悬浮物</w:t>
                  </w:r>
                </w:p>
              </w:tc>
              <w:tc>
                <w:tcPr>
                  <w:tcW w:w="1934"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水质 悬浮物的测定 重量法GB11901-1989</w:t>
                  </w:r>
                </w:p>
              </w:tc>
              <w:tc>
                <w:tcPr>
                  <w:tcW w:w="1065"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 xml:space="preserve">电热恒温鼓风干燥箱 </w:t>
                  </w:r>
                </w:p>
              </w:tc>
              <w:tc>
                <w:tcPr>
                  <w:tcW w:w="807"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624" w:hRule="atLeast"/>
                <w:tblHeader/>
                <w:jc w:val="center"/>
              </w:trPr>
              <w:tc>
                <w:tcPr>
                  <w:tcW w:w="360"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rPr>
                  </w:pPr>
                </w:p>
              </w:tc>
              <w:tc>
                <w:tcPr>
                  <w:tcW w:w="832"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五日生化需氧量</w:t>
                  </w:r>
                </w:p>
              </w:tc>
              <w:tc>
                <w:tcPr>
                  <w:tcW w:w="1934"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水质 五日生化需氧量（BOD5）的测定 稀释与接种法HJ 505</w:t>
                  </w:r>
                  <w:r>
                    <w:rPr>
                      <w:rFonts w:hint="default" w:ascii="Times New Roman" w:hAnsi="Times New Roman" w:eastAsia="宋体" w:cs="Times New Roman"/>
                      <w:lang w:val="en-US" w:eastAsia="zh-CN"/>
                    </w:rPr>
                    <w:t>-</w:t>
                  </w:r>
                  <w:r>
                    <w:rPr>
                      <w:rFonts w:hint="default" w:ascii="Times New Roman" w:hAnsi="Times New Roman" w:eastAsia="宋体" w:cs="Times New Roman"/>
                    </w:rPr>
                    <w:t>2009</w:t>
                  </w:r>
                </w:p>
              </w:tc>
              <w:tc>
                <w:tcPr>
                  <w:tcW w:w="1065"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生化培养箱</w:t>
                  </w:r>
                </w:p>
              </w:tc>
              <w:tc>
                <w:tcPr>
                  <w:tcW w:w="807"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624" w:hRule="atLeast"/>
                <w:tblHeader/>
                <w:jc w:val="center"/>
              </w:trPr>
              <w:tc>
                <w:tcPr>
                  <w:tcW w:w="360"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rPr>
                  </w:pPr>
                </w:p>
              </w:tc>
              <w:tc>
                <w:tcPr>
                  <w:tcW w:w="832"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氨氮</w:t>
                  </w:r>
                </w:p>
              </w:tc>
              <w:tc>
                <w:tcPr>
                  <w:tcW w:w="1934"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水质 氨氮的测定纳氏试剂分光光度法  HJ 535-2009</w:t>
                  </w:r>
                </w:p>
              </w:tc>
              <w:tc>
                <w:tcPr>
                  <w:tcW w:w="1065"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722可见分光光度计</w:t>
                  </w:r>
                </w:p>
              </w:tc>
              <w:tc>
                <w:tcPr>
                  <w:tcW w:w="807"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624" w:hRule="atLeast"/>
                <w:tblHeader/>
                <w:jc w:val="center"/>
              </w:trPr>
              <w:tc>
                <w:tcPr>
                  <w:tcW w:w="360"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rPr>
                  </w:pPr>
                </w:p>
              </w:tc>
              <w:tc>
                <w:tcPr>
                  <w:tcW w:w="832"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石油类</w:t>
                  </w:r>
                </w:p>
              </w:tc>
              <w:tc>
                <w:tcPr>
                  <w:tcW w:w="1934"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rPr>
                    <w:t>水质 石油类和动植物油类的测定红外分光光度法HJ 637-201</w:t>
                  </w:r>
                  <w:r>
                    <w:rPr>
                      <w:rFonts w:hint="default" w:ascii="Times New Roman" w:hAnsi="Times New Roman" w:eastAsia="宋体" w:cs="Times New Roman"/>
                      <w:lang w:val="en-US" w:eastAsia="zh-CN"/>
                    </w:rPr>
                    <w:t>8</w:t>
                  </w:r>
                </w:p>
              </w:tc>
              <w:tc>
                <w:tcPr>
                  <w:tcW w:w="1065"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红外测油仪</w:t>
                  </w:r>
                </w:p>
              </w:tc>
              <w:tc>
                <w:tcPr>
                  <w:tcW w:w="807"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0.0</w:t>
                  </w:r>
                  <w:r>
                    <w:rPr>
                      <w:rFonts w:hint="default" w:ascii="Times New Roman" w:hAnsi="Times New Roman" w:eastAsia="宋体" w:cs="Times New Roman"/>
                      <w:lang w:val="en-US" w:eastAsia="zh-CN"/>
                    </w:rPr>
                    <w:t>6</w:t>
                  </w:r>
                  <w:r>
                    <w:rPr>
                      <w:rFonts w:hint="default" w:ascii="Times New Roman" w:hAnsi="Times New Roman" w:eastAsia="宋体" w:cs="Times New Roma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624" w:hRule="atLeast"/>
                <w:tblHeader/>
                <w:jc w:val="center"/>
              </w:trPr>
              <w:tc>
                <w:tcPr>
                  <w:tcW w:w="360"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rPr>
                  </w:pPr>
                </w:p>
              </w:tc>
              <w:tc>
                <w:tcPr>
                  <w:tcW w:w="832"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动植物油</w:t>
                  </w:r>
                </w:p>
              </w:tc>
              <w:tc>
                <w:tcPr>
                  <w:tcW w:w="1934"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水质 石油类和动植物油类的测定红外分光光度法HJ 637-201</w:t>
                  </w:r>
                  <w:r>
                    <w:rPr>
                      <w:rFonts w:hint="default" w:ascii="Times New Roman" w:hAnsi="Times New Roman" w:eastAsia="宋体" w:cs="Times New Roman"/>
                      <w:lang w:val="en-US" w:eastAsia="zh-CN"/>
                    </w:rPr>
                    <w:t>8</w:t>
                  </w:r>
                </w:p>
              </w:tc>
              <w:tc>
                <w:tcPr>
                  <w:tcW w:w="1065"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红外测油仪</w:t>
                  </w:r>
                </w:p>
              </w:tc>
              <w:tc>
                <w:tcPr>
                  <w:tcW w:w="807"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0.0</w:t>
                  </w:r>
                  <w:r>
                    <w:rPr>
                      <w:rFonts w:hint="default" w:ascii="Times New Roman" w:hAnsi="Times New Roman" w:eastAsia="宋体" w:cs="Times New Roman"/>
                      <w:lang w:val="en-US" w:eastAsia="zh-CN"/>
                    </w:rPr>
                    <w:t>6</w:t>
                  </w:r>
                  <w:r>
                    <w:rPr>
                      <w:rFonts w:hint="default" w:ascii="Times New Roman" w:hAnsi="Times New Roman" w:eastAsia="宋体" w:cs="Times New Roma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624" w:hRule="atLeast"/>
                <w:tblHeader/>
                <w:jc w:val="center"/>
              </w:trPr>
              <w:tc>
                <w:tcPr>
                  <w:tcW w:w="360"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rPr>
                  </w:pPr>
                </w:p>
              </w:tc>
              <w:tc>
                <w:tcPr>
                  <w:tcW w:w="832"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阴离子表面活性剂</w:t>
                  </w:r>
                </w:p>
              </w:tc>
              <w:tc>
                <w:tcPr>
                  <w:tcW w:w="1934"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水质</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eastAsia="zh-CN"/>
                    </w:rPr>
                    <w:t>阴离子表面活性剂的测定</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t>亚甲蓝分光光度法</w:t>
                  </w:r>
                  <w:r>
                    <w:rPr>
                      <w:rFonts w:hint="default" w:ascii="Times New Roman" w:hAnsi="Times New Roman" w:eastAsia="宋体" w:cs="Times New Roman"/>
                      <w:lang w:val="en-US" w:eastAsia="zh-CN"/>
                    </w:rPr>
                    <w:t>GB7494-1987</w:t>
                  </w:r>
                </w:p>
              </w:tc>
              <w:tc>
                <w:tcPr>
                  <w:tcW w:w="1065"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722可见分光光度计</w:t>
                  </w:r>
                </w:p>
              </w:tc>
              <w:tc>
                <w:tcPr>
                  <w:tcW w:w="807"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0.05mg/L</w:t>
                  </w:r>
                </w:p>
              </w:tc>
            </w:tr>
          </w:tbl>
          <w:p>
            <w:pPr>
              <w:keepNext w:val="0"/>
              <w:keepLines w:val="0"/>
              <w:pageBreakBefore w:val="0"/>
              <w:widowControl w:val="0"/>
              <w:kinsoku/>
              <w:wordWrap/>
              <w:overflowPunct/>
              <w:topLinePunct w:val="0"/>
              <w:autoSpaceDE/>
              <w:autoSpaceDN/>
              <w:bidi w:val="0"/>
              <w:adjustRightInd/>
              <w:snapToGrid/>
              <w:spacing w:line="450" w:lineRule="exact"/>
              <w:ind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2、人员能力及仪器检定情况</w:t>
            </w:r>
          </w:p>
          <w:p>
            <w:pPr>
              <w:keepNext w:val="0"/>
              <w:keepLines w:val="0"/>
              <w:pageBreakBefore w:val="0"/>
              <w:widowControl w:val="0"/>
              <w:kinsoku/>
              <w:wordWrap/>
              <w:overflowPunct/>
              <w:topLinePunct w:val="0"/>
              <w:autoSpaceDE/>
              <w:autoSpaceDN/>
              <w:bidi w:val="0"/>
              <w:adjustRightInd/>
              <w:snapToGrid/>
              <w:spacing w:line="45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本项目委托有资质的检测单</w:t>
            </w:r>
            <w:r>
              <w:rPr>
                <w:rFonts w:hint="default" w:ascii="Times New Roman" w:hAnsi="Times New Roman" w:eastAsia="宋体" w:cs="Times New Roman"/>
                <w:sz w:val="24"/>
                <w:szCs w:val="24"/>
                <w:highlight w:val="none"/>
                <w:lang w:val="en-US" w:eastAsia="zh-CN"/>
              </w:rPr>
              <w:t>位</w:t>
            </w:r>
            <w:r>
              <w:rPr>
                <w:rFonts w:hint="eastAsia" w:ascii="Times New Roman" w:hAnsi="Times New Roman" w:eastAsia="宋体" w:cs="Times New Roman"/>
                <w:sz w:val="24"/>
                <w:szCs w:val="24"/>
                <w:highlight w:val="none"/>
                <w:lang w:val="en-US" w:eastAsia="zh-CN"/>
              </w:rPr>
              <w:t>新疆中测测试有限责任公司</w:t>
            </w:r>
            <w:r>
              <w:rPr>
                <w:rFonts w:hint="default" w:ascii="Times New Roman" w:hAnsi="Times New Roman" w:eastAsia="宋体" w:cs="Times New Roman"/>
                <w:sz w:val="24"/>
                <w:szCs w:val="24"/>
                <w:lang w:val="en-US" w:eastAsia="zh-CN"/>
              </w:rPr>
              <w:t>进行检测。参加本项目检测人员均持证上岗，检测仪器均经计量部门检定合格并在有效期内。</w:t>
            </w:r>
          </w:p>
          <w:p>
            <w:pPr>
              <w:keepNext w:val="0"/>
              <w:keepLines w:val="0"/>
              <w:pageBreakBefore w:val="0"/>
              <w:widowControl w:val="0"/>
              <w:kinsoku/>
              <w:wordWrap/>
              <w:overflowPunct/>
              <w:topLinePunct w:val="0"/>
              <w:autoSpaceDE/>
              <w:autoSpaceDN/>
              <w:bidi w:val="0"/>
              <w:adjustRightInd/>
              <w:snapToGrid/>
              <w:spacing w:line="450" w:lineRule="exact"/>
              <w:ind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3、气体监测分析过程中的质量保证和质量控制</w:t>
            </w:r>
          </w:p>
          <w:p>
            <w:pPr>
              <w:keepNext w:val="0"/>
              <w:keepLines w:val="0"/>
              <w:pageBreakBefore w:val="0"/>
              <w:widowControl w:val="0"/>
              <w:kinsoku/>
              <w:wordWrap/>
              <w:overflowPunct/>
              <w:topLinePunct w:val="0"/>
              <w:autoSpaceDE/>
              <w:autoSpaceDN/>
              <w:bidi w:val="0"/>
              <w:adjustRightInd/>
              <w:snapToGrid/>
              <w:spacing w:line="45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（1）监测过程严格按《环境监测技术规范》中有关规定进行，现场采样和测试时生产设备正常运行。验收监测期间，工况稳定，满足国家对建设项目竣工环保验收监测的技术要求；</w:t>
            </w:r>
          </w:p>
          <w:p>
            <w:pPr>
              <w:keepNext w:val="0"/>
              <w:keepLines w:val="0"/>
              <w:pageBreakBefore w:val="0"/>
              <w:widowControl w:val="0"/>
              <w:kinsoku/>
              <w:wordWrap/>
              <w:overflowPunct/>
              <w:topLinePunct w:val="0"/>
              <w:autoSpaceDE/>
              <w:autoSpaceDN/>
              <w:bidi w:val="0"/>
              <w:adjustRightInd/>
              <w:snapToGrid/>
              <w:spacing w:line="45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（2）监测人员均做到持证上岗；监测及分析仪器通过计量部门的检定合格，并在有效期内使用；数据实行三级审核；</w:t>
            </w:r>
          </w:p>
          <w:p>
            <w:pPr>
              <w:keepNext w:val="0"/>
              <w:keepLines w:val="0"/>
              <w:pageBreakBefore w:val="0"/>
              <w:widowControl w:val="0"/>
              <w:kinsoku/>
              <w:wordWrap/>
              <w:overflowPunct/>
              <w:topLinePunct w:val="0"/>
              <w:autoSpaceDE/>
              <w:autoSpaceDN/>
              <w:bidi w:val="0"/>
              <w:adjustRightInd/>
              <w:snapToGrid/>
              <w:spacing w:line="45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废气监测（分析）仪在测试前按监测因子用标准气体进行标定和流量计进行了流量校准检查了气密性，测试时保证其采样流量和气密性，并合理选择量程。废气监测仪器均符合国家有关标准或技术要求，大气采样仪均进行现场检漏，采样和分析过程严格按照《空气和废气监测分析方法》（第四版）进行。</w:t>
            </w:r>
          </w:p>
          <w:p>
            <w:pPr>
              <w:keepNext w:val="0"/>
              <w:keepLines w:val="0"/>
              <w:pageBreakBefore w:val="0"/>
              <w:widowControl w:val="0"/>
              <w:kinsoku/>
              <w:wordWrap/>
              <w:overflowPunct/>
              <w:topLinePunct w:val="0"/>
              <w:autoSpaceDE/>
              <w:autoSpaceDN/>
              <w:bidi w:val="0"/>
              <w:adjustRightInd/>
              <w:snapToGrid/>
              <w:spacing w:line="450" w:lineRule="exact"/>
              <w:ind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4、水质监测分析过程中的质量保证和质量控制</w:t>
            </w:r>
          </w:p>
          <w:p>
            <w:pPr>
              <w:keepNext w:val="0"/>
              <w:keepLines w:val="0"/>
              <w:pageBreakBefore w:val="0"/>
              <w:widowControl w:val="0"/>
              <w:kinsoku/>
              <w:wordWrap/>
              <w:overflowPunct/>
              <w:topLinePunct w:val="0"/>
              <w:autoSpaceDE/>
              <w:autoSpaceDN/>
              <w:bidi w:val="0"/>
              <w:adjustRightInd/>
              <w:snapToGrid/>
              <w:spacing w:line="45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zh-CN"/>
              </w:rPr>
              <w:t>（</w:t>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zh-CN"/>
              </w:rPr>
              <w:t>）本项目水质样品的采集、保存及质量保证措施严格</w:t>
            </w:r>
            <w:r>
              <w:rPr>
                <w:rFonts w:hint="eastAsia" w:cs="Times New Roman"/>
                <w:sz w:val="24"/>
                <w:szCs w:val="24"/>
                <w:lang w:val="zh-CN"/>
              </w:rPr>
              <w:t>按照</w:t>
            </w:r>
            <w:r>
              <w:rPr>
                <w:rFonts w:hint="default" w:ascii="Times New Roman" w:hAnsi="Times New Roman" w:eastAsia="宋体" w:cs="Times New Roman"/>
                <w:sz w:val="24"/>
                <w:szCs w:val="24"/>
                <w:lang w:val="zh-CN"/>
              </w:rPr>
              <w:t>《环境监测技术规范》中有关规定进行，分析方法采用国家水质标准；</w:t>
            </w:r>
          </w:p>
          <w:p>
            <w:pPr>
              <w:keepNext w:val="0"/>
              <w:keepLines w:val="0"/>
              <w:pageBreakBefore w:val="0"/>
              <w:widowControl w:val="0"/>
              <w:kinsoku/>
              <w:wordWrap/>
              <w:overflowPunct/>
              <w:topLinePunct w:val="0"/>
              <w:autoSpaceDE/>
              <w:autoSpaceDN/>
              <w:bidi w:val="0"/>
              <w:adjustRightInd/>
              <w:snapToGrid/>
              <w:spacing w:line="450" w:lineRule="exact"/>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2）对水样分析实验室采取10%的平行双样，20%加标回收等措施进行控制</w:t>
            </w:r>
            <w:r>
              <w:rPr>
                <w:rFonts w:hint="default"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5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zh-CN"/>
              </w:rPr>
              <w:t>（</w:t>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val="zh-CN"/>
              </w:rPr>
              <w:t>）监测及分析仪器通过计量部门的检定合格，并在有效期内使用。</w:t>
            </w:r>
          </w:p>
          <w:p>
            <w:pPr>
              <w:keepNext w:val="0"/>
              <w:keepLines w:val="0"/>
              <w:pageBreakBefore w:val="0"/>
              <w:widowControl w:val="0"/>
              <w:kinsoku/>
              <w:wordWrap/>
              <w:overflowPunct/>
              <w:topLinePunct w:val="0"/>
              <w:autoSpaceDE/>
              <w:autoSpaceDN/>
              <w:bidi w:val="0"/>
              <w:adjustRightInd/>
              <w:snapToGrid/>
              <w:spacing w:line="450" w:lineRule="exact"/>
              <w:ind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5、噪声监测分析过程中的质量保证和质量控制</w:t>
            </w:r>
          </w:p>
          <w:p>
            <w:pPr>
              <w:keepNext w:val="0"/>
              <w:keepLines w:val="0"/>
              <w:pageBreakBefore w:val="0"/>
              <w:widowControl w:val="0"/>
              <w:kinsoku/>
              <w:wordWrap/>
              <w:overflowPunct/>
              <w:topLinePunct w:val="0"/>
              <w:autoSpaceDE/>
              <w:autoSpaceDN/>
              <w:bidi w:val="0"/>
              <w:adjustRightInd/>
              <w:snapToGrid/>
              <w:spacing w:line="45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1）监测人员持证上岗，测量仪器和校准仪器均定期经计量部门检定合格，并在有效使用期内使用</w:t>
            </w:r>
            <w:r>
              <w:rPr>
                <w:rFonts w:hint="default" w:ascii="Times New Roman" w:hAnsi="Times New Roman" w:eastAsia="宋体" w:cs="Times New Roman"/>
                <w:sz w:val="24"/>
                <w:szCs w:val="24"/>
                <w:lang w:eastAsia="zh-CN"/>
              </w:rPr>
              <w:t>，监测数据严格实行三级审核制度</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450" w:lineRule="exact"/>
              <w:ind w:firstLine="480" w:firstLineChars="200"/>
              <w:textAlignment w:val="auto"/>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2）测量前、后进行声学校准；噪声统计分析仪使用时需加防风罩，避免在风速大于5m/s及雨</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雪天气下监测</w:t>
            </w:r>
            <w:r>
              <w:rPr>
                <w:rFonts w:hint="default" w:ascii="Times New Roman" w:hAnsi="Times New Roman" w:eastAsia="宋体" w:cs="Times New Roman"/>
                <w:sz w:val="24"/>
                <w:szCs w:val="24"/>
                <w:lang w:eastAsia="zh-CN"/>
              </w:rPr>
              <w:t>，现场采样和监测时该项目正常运行。</w:t>
            </w:r>
          </w:p>
        </w:tc>
      </w:tr>
    </w:tbl>
    <w:p>
      <w:pPr>
        <w:pStyle w:val="3"/>
        <w:spacing w:before="0" w:after="0" w:line="240" w:lineRule="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表</w:t>
      </w:r>
      <w:r>
        <w:rPr>
          <w:rFonts w:hint="default" w:ascii="Times New Roman" w:hAnsi="Times New Roman" w:eastAsia="宋体" w:cs="Times New Roman"/>
          <w:sz w:val="24"/>
          <w:highlight w:val="none"/>
          <w:lang w:eastAsia="zh-CN"/>
        </w:rPr>
        <w:t>六</w:t>
      </w:r>
      <w:bookmarkEnd w:id="3"/>
      <w:r>
        <w:rPr>
          <w:rFonts w:hint="default" w:ascii="Times New Roman" w:hAnsi="Times New Roman" w:eastAsia="宋体" w:cs="Times New Roman"/>
          <w:color w:val="auto"/>
          <w:sz w:val="24"/>
          <w:highlight w:val="none"/>
          <w:shd w:val="clear" w:color="auto" w:fill="auto"/>
          <w:lang w:val="en-US" w:eastAsia="zh-CN"/>
        </w:rPr>
        <w:t>验收监测内容及监测结果</w:t>
      </w:r>
    </w:p>
    <w:tbl>
      <w:tblPr>
        <w:tblStyle w:val="23"/>
        <w:tblW w:w="8522"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3554" w:hRule="atLeast"/>
        </w:trPr>
        <w:tc>
          <w:tcPr>
            <w:tcW w:w="8522" w:type="dxa"/>
            <w:vAlign w:val="top"/>
          </w:tcPr>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right="0" w:rightChars="0" w:firstLine="482" w:firstLineChars="200"/>
              <w:jc w:val="left"/>
              <w:textAlignment w:val="auto"/>
              <w:outlineLvl w:val="9"/>
              <w:rPr>
                <w:rFonts w:hint="default" w:ascii="Times New Roman" w:hAnsi="Times New Roman" w:eastAsia="宋体" w:cs="Times New Roman"/>
                <w:b/>
                <w:bCs/>
                <w:snapToGrid/>
                <w:color w:val="auto"/>
                <w:kern w:val="0"/>
                <w:sz w:val="24"/>
                <w:szCs w:val="22"/>
                <w:highlight w:val="none"/>
                <w:lang w:val="en-US" w:eastAsia="zh-CN" w:bidi="ar"/>
              </w:rPr>
            </w:pPr>
            <w:r>
              <w:rPr>
                <w:rFonts w:hint="default" w:ascii="Times New Roman" w:hAnsi="Times New Roman" w:eastAsia="宋体" w:cs="Times New Roman"/>
                <w:b/>
                <w:bCs/>
                <w:snapToGrid/>
                <w:color w:val="auto"/>
                <w:kern w:val="0"/>
                <w:sz w:val="24"/>
                <w:szCs w:val="22"/>
                <w:highlight w:val="none"/>
                <w:lang w:val="en-US" w:eastAsia="zh-CN" w:bidi="ar"/>
              </w:rPr>
              <w:t>监测内容</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根据对该项目主要污染源和污染物及环保运行情况的分析，确定本次验收污染物排放监测内容为噪声、有组织废气、无组织废气及废水。</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1.1、验收期间工况监督</w:t>
            </w:r>
          </w:p>
          <w:p>
            <w:pPr>
              <w:spacing w:line="360" w:lineRule="auto"/>
              <w:ind w:firstLine="480" w:firstLineChars="200"/>
              <w:jc w:val="left"/>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本次验收监测期间，项目运行稳定，配套环保设备设施运行正常，满足国家竣工环境保护验收监测的有关要求。</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jc w:val="both"/>
              <w:textAlignment w:val="auto"/>
              <w:outlineLvl w:val="9"/>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1.2废气监测内容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lang w:val="en-US" w:eastAsia="zh-CN"/>
              </w:rPr>
              <w:t>本建设项目的工艺废气主要是</w:t>
            </w:r>
            <w:r>
              <w:rPr>
                <w:rFonts w:hint="default" w:ascii="Times New Roman" w:hAnsi="Times New Roman" w:cs="Times New Roman"/>
                <w:color w:val="auto"/>
                <w:sz w:val="24"/>
              </w:rPr>
              <w:t>水泥筒仓</w:t>
            </w:r>
            <w:r>
              <w:rPr>
                <w:rFonts w:hint="eastAsia" w:cs="Times New Roman"/>
                <w:color w:val="auto"/>
                <w:sz w:val="24"/>
                <w:lang w:val="en-US" w:eastAsia="zh-CN"/>
              </w:rPr>
              <w:t>呼吸孔产生的粉尘</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highlight w:val="none"/>
                <w:lang w:val="en-US" w:eastAsia="zh-CN"/>
              </w:rPr>
              <w:t>本次验收废气监测内容详见表1.2-1，监测点位见附图</w:t>
            </w:r>
            <w:r>
              <w:rPr>
                <w:rFonts w:hint="eastAsia"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表1.2-1废气监测内容</w:t>
            </w:r>
          </w:p>
          <w:tbl>
            <w:tblPr>
              <w:tblStyle w:val="23"/>
              <w:tblW w:w="83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4"/>
              <w:gridCol w:w="3126"/>
              <w:gridCol w:w="2056"/>
              <w:gridCol w:w="2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110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监测项目</w:t>
                  </w:r>
                </w:p>
              </w:tc>
              <w:tc>
                <w:tcPr>
                  <w:tcW w:w="312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监测点位</w:t>
                  </w:r>
                </w:p>
              </w:tc>
              <w:tc>
                <w:tcPr>
                  <w:tcW w:w="205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监测因子</w:t>
                  </w:r>
                </w:p>
              </w:tc>
              <w:tc>
                <w:tcPr>
                  <w:tcW w:w="205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10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无组织废气</w:t>
                  </w:r>
                </w:p>
              </w:tc>
              <w:tc>
                <w:tcPr>
                  <w:tcW w:w="312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（厂界）共设置下风向3个监测点，上风向1个参照点</w:t>
                  </w:r>
                </w:p>
              </w:tc>
              <w:tc>
                <w:tcPr>
                  <w:tcW w:w="205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颗粒物</w:t>
                  </w:r>
                </w:p>
              </w:tc>
              <w:tc>
                <w:tcPr>
                  <w:tcW w:w="205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连续2天，每天4次</w:t>
                  </w:r>
                </w:p>
              </w:tc>
            </w:tr>
          </w:tbl>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1.3、执行标准</w:t>
            </w:r>
          </w:p>
          <w:p>
            <w:pPr>
              <w:pStyle w:val="7"/>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根据环评及批复要求，</w:t>
            </w:r>
            <w:r>
              <w:rPr>
                <w:rFonts w:hint="default" w:ascii="Times New Roman" w:hAnsi="Times New Roman" w:eastAsia="宋体" w:cs="Times New Roman"/>
                <w:color w:val="auto"/>
                <w:sz w:val="24"/>
                <w:szCs w:val="24"/>
                <w:lang w:val="en-US" w:eastAsia="zh-CN"/>
              </w:rPr>
              <w:t>运营期产生的废气主要为</w:t>
            </w:r>
            <w:r>
              <w:rPr>
                <w:rFonts w:hint="eastAsia" w:ascii="Times New Roman" w:hAnsi="Times New Roman" w:eastAsia="宋体" w:cs="Times New Roman"/>
                <w:color w:val="auto"/>
                <w:kern w:val="2"/>
                <w:sz w:val="24"/>
                <w:szCs w:val="24"/>
                <w:highlight w:val="none"/>
                <w:lang w:val="en-US" w:eastAsia="zh-CN" w:bidi="ar-SA"/>
              </w:rPr>
              <w:t>8个原料筒仓在原料经气力输送泵输送至筒仓时，筒仓顶部呼吸孔产生的粉尘及燃气锅炉产生的废气</w:t>
            </w:r>
            <w:r>
              <w:rPr>
                <w:rFonts w:hint="default" w:ascii="Times New Roman" w:hAnsi="Times New Roman" w:eastAsia="宋体" w:cs="Times New Roman"/>
                <w:color w:val="auto"/>
                <w:sz w:val="24"/>
                <w:szCs w:val="24"/>
                <w:lang w:val="en-US" w:eastAsia="zh-CN"/>
              </w:rPr>
              <w:t>。运营期间，</w:t>
            </w:r>
            <w:r>
              <w:rPr>
                <w:rFonts w:hint="eastAsia" w:ascii="Times New Roman" w:hAnsi="Times New Roman" w:eastAsia="宋体" w:cs="Times New Roman"/>
                <w:color w:val="auto"/>
                <w:sz w:val="24"/>
                <w:szCs w:val="24"/>
                <w:lang w:val="en-US" w:eastAsia="zh-CN"/>
              </w:rPr>
              <w:t>筒仓呼吸孔产生</w:t>
            </w:r>
            <w:r>
              <w:rPr>
                <w:rFonts w:hint="default" w:ascii="Times New Roman" w:hAnsi="Times New Roman" w:eastAsia="宋体" w:cs="Times New Roman"/>
                <w:color w:val="auto"/>
                <w:sz w:val="24"/>
                <w:szCs w:val="24"/>
                <w:lang w:val="en-US" w:eastAsia="zh-CN"/>
              </w:rPr>
              <w:t>粉尘经各自仓顶配套的布袋除尘器处理后</w:t>
            </w:r>
            <w:r>
              <w:rPr>
                <w:rFonts w:hint="eastAsia" w:ascii="Times New Roman" w:hAnsi="Times New Roman" w:eastAsia="宋体" w:cs="Times New Roman"/>
                <w:color w:val="auto"/>
                <w:sz w:val="24"/>
                <w:szCs w:val="24"/>
                <w:lang w:val="en-US" w:eastAsia="zh-CN"/>
              </w:rPr>
              <w:t>在密闭车间内以无组织的形式自然沉降</w:t>
            </w:r>
            <w:r>
              <w:rPr>
                <w:rFonts w:hint="default" w:ascii="Times New Roman" w:hAnsi="Times New Roman" w:eastAsia="宋体" w:cs="Times New Roman"/>
                <w:color w:val="auto"/>
                <w:sz w:val="24"/>
                <w:szCs w:val="24"/>
                <w:lang w:val="en-US" w:eastAsia="zh-CN"/>
              </w:rPr>
              <w:t>，项</w:t>
            </w:r>
            <w:r>
              <w:rPr>
                <w:rFonts w:hint="default" w:ascii="Times New Roman" w:hAnsi="Times New Roman" w:eastAsia="宋体" w:cs="Times New Roman"/>
                <w:sz w:val="24"/>
                <w:szCs w:val="24"/>
                <w:lang w:val="en-US" w:eastAsia="zh-CN"/>
              </w:rPr>
              <w:t>目区有专人负责严格落实各项大气污染防治措施，严格</w:t>
            </w:r>
            <w:r>
              <w:rPr>
                <w:rFonts w:hint="eastAsia" w:ascii="Times New Roman" w:hAnsi="Times New Roman" w:eastAsia="宋体" w:cs="Times New Roman"/>
                <w:sz w:val="24"/>
                <w:szCs w:val="24"/>
                <w:lang w:val="en-US" w:eastAsia="zh-CN"/>
              </w:rPr>
              <w:t>工艺</w:t>
            </w:r>
            <w:r>
              <w:rPr>
                <w:rFonts w:hint="default" w:ascii="Times New Roman" w:hAnsi="Times New Roman" w:eastAsia="宋体" w:cs="Times New Roman"/>
                <w:sz w:val="24"/>
                <w:szCs w:val="24"/>
                <w:lang w:val="en-US" w:eastAsia="zh-CN"/>
              </w:rPr>
              <w:t>操作流程和</w:t>
            </w:r>
            <w:r>
              <w:rPr>
                <w:rFonts w:hint="eastAsia" w:ascii="Times New Roman" w:hAnsi="Times New Roman" w:eastAsia="宋体" w:cs="Times New Roman"/>
                <w:sz w:val="24"/>
                <w:szCs w:val="24"/>
                <w:lang w:val="en-US" w:eastAsia="zh-CN"/>
              </w:rPr>
              <w:t>环保</w:t>
            </w:r>
            <w:r>
              <w:rPr>
                <w:rFonts w:hint="default" w:ascii="Times New Roman" w:hAnsi="Times New Roman" w:eastAsia="宋体" w:cs="Times New Roman"/>
                <w:sz w:val="24"/>
                <w:szCs w:val="24"/>
                <w:lang w:val="en-US" w:eastAsia="zh-CN"/>
              </w:rPr>
              <w:t>要求，减少</w:t>
            </w:r>
            <w:r>
              <w:rPr>
                <w:rFonts w:hint="eastAsia" w:ascii="Times New Roman" w:hAnsi="Times New Roman" w:eastAsia="宋体" w:cs="Times New Roman"/>
                <w:sz w:val="24"/>
                <w:szCs w:val="24"/>
                <w:lang w:val="en-US" w:eastAsia="zh-CN"/>
              </w:rPr>
              <w:t>粉尘</w:t>
            </w:r>
            <w:r>
              <w:rPr>
                <w:rFonts w:hint="default" w:ascii="Times New Roman" w:hAnsi="Times New Roman" w:eastAsia="宋体" w:cs="Times New Roman"/>
                <w:sz w:val="24"/>
                <w:szCs w:val="24"/>
                <w:lang w:val="en-US" w:eastAsia="zh-CN"/>
              </w:rPr>
              <w:t>无组织排放</w:t>
            </w:r>
            <w:r>
              <w:rPr>
                <w:rFonts w:hint="eastAsia" w:ascii="Times New Roman" w:hAnsi="Times New Roman" w:eastAsia="宋体" w:cs="Times New Roman"/>
                <w:sz w:val="24"/>
                <w:szCs w:val="24"/>
                <w:lang w:val="en-US" w:eastAsia="zh-CN"/>
              </w:rPr>
              <w:t>，颗粒物排放浓度达到《水泥工业大气污染物综合排放标准》（GB4915-2013）表</w:t>
            </w:r>
            <w:r>
              <w:rPr>
                <w:rFonts w:hint="eastAsia" w:cs="Times New Roman"/>
                <w:sz w:val="24"/>
                <w:szCs w:val="24"/>
                <w:lang w:val="en-US" w:eastAsia="zh-CN"/>
              </w:rPr>
              <w:t>3</w:t>
            </w:r>
            <w:r>
              <w:rPr>
                <w:rFonts w:hint="eastAsia" w:ascii="Times New Roman" w:hAnsi="Times New Roman" w:eastAsia="宋体" w:cs="Times New Roman"/>
                <w:sz w:val="24"/>
                <w:szCs w:val="24"/>
                <w:lang w:val="en-US" w:eastAsia="zh-CN"/>
              </w:rPr>
              <w:t>大气污染物</w:t>
            </w:r>
            <w:r>
              <w:rPr>
                <w:rFonts w:hint="eastAsia" w:cs="Times New Roman"/>
                <w:sz w:val="24"/>
                <w:szCs w:val="24"/>
                <w:lang w:val="en-US" w:eastAsia="zh-CN"/>
              </w:rPr>
              <w:t>无组织</w:t>
            </w:r>
            <w:r>
              <w:rPr>
                <w:rFonts w:hint="eastAsia" w:ascii="Times New Roman" w:hAnsi="Times New Roman" w:eastAsia="宋体" w:cs="Times New Roman"/>
                <w:sz w:val="24"/>
                <w:szCs w:val="24"/>
                <w:lang w:val="en-US" w:eastAsia="zh-CN"/>
              </w:rPr>
              <w:t>排放限值</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见表1.3-1。</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表1.3-1</w:t>
            </w:r>
            <w:r>
              <w:rPr>
                <w:rFonts w:hint="eastAsia" w:ascii="Times New Roman" w:hAnsi="Times New Roman" w:eastAsia="宋体" w:cs="Times New Roman"/>
                <w:b/>
                <w:bCs/>
                <w:color w:val="auto"/>
                <w:lang w:val="en-US" w:eastAsia="zh-CN"/>
              </w:rPr>
              <w:t>废气</w:t>
            </w:r>
            <w:r>
              <w:rPr>
                <w:rFonts w:hint="default" w:ascii="Times New Roman" w:hAnsi="Times New Roman" w:eastAsia="宋体" w:cs="Times New Roman"/>
                <w:b/>
                <w:bCs/>
                <w:color w:val="auto"/>
                <w:lang w:val="en-US" w:eastAsia="zh-CN"/>
              </w:rPr>
              <w:t>排放标准</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3"/>
              <w:gridCol w:w="2765"/>
              <w:gridCol w:w="2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无组织排放监控浓度限值（mg/m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pct"/>
                  <w:vMerge w:val="restart"/>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color w:val="auto"/>
                      <w:sz w:val="21"/>
                      <w:szCs w:val="21"/>
                      <w:lang w:eastAsia="zh-CN"/>
                    </w:rPr>
                    <w:t>颗粒物</w:t>
                  </w:r>
                </w:p>
              </w:tc>
              <w:tc>
                <w:tcPr>
                  <w:tcW w:w="1667" w:type="pct"/>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监控点</w:t>
                  </w:r>
                </w:p>
              </w:tc>
              <w:tc>
                <w:tcPr>
                  <w:tcW w:w="1672" w:type="pct"/>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pct"/>
                  <w:vMerge w:val="continue"/>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lang w:val="en-US" w:eastAsia="zh-CN"/>
                    </w:rPr>
                  </w:pPr>
                </w:p>
              </w:tc>
              <w:tc>
                <w:tcPr>
                  <w:tcW w:w="1667" w:type="pct"/>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周界外浓度最高点</w:t>
                  </w:r>
                </w:p>
              </w:tc>
              <w:tc>
                <w:tcPr>
                  <w:tcW w:w="1672" w:type="pct"/>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0.5</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82"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1.4废气监测结果及分析</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Cs w:val="21"/>
              </w:rPr>
              <w:t>表</w:t>
            </w:r>
            <w:r>
              <w:rPr>
                <w:rFonts w:hint="default" w:ascii="Times New Roman" w:hAnsi="Times New Roman" w:eastAsia="宋体" w:cs="Times New Roman"/>
                <w:b/>
                <w:bCs/>
                <w:color w:val="auto"/>
                <w:szCs w:val="21"/>
                <w:lang w:val="en-US" w:eastAsia="zh-CN"/>
              </w:rPr>
              <w:t>1.4-1</w:t>
            </w:r>
            <w:r>
              <w:rPr>
                <w:rFonts w:hint="default" w:ascii="Times New Roman" w:hAnsi="Times New Roman" w:eastAsia="宋体" w:cs="Times New Roman"/>
                <w:b/>
                <w:bCs/>
                <w:color w:val="auto"/>
                <w:szCs w:val="21"/>
              </w:rPr>
              <w:t>厂界</w:t>
            </w:r>
            <w:r>
              <w:rPr>
                <w:rFonts w:hint="eastAsia" w:ascii="Times New Roman" w:hAnsi="Times New Roman" w:eastAsia="宋体" w:cs="Times New Roman"/>
                <w:b/>
                <w:bCs/>
                <w:color w:val="auto"/>
                <w:szCs w:val="21"/>
                <w:lang w:val="en-US" w:eastAsia="zh-CN"/>
              </w:rPr>
              <w:t>无组织</w:t>
            </w:r>
            <w:r>
              <w:rPr>
                <w:rFonts w:hint="default" w:ascii="Times New Roman" w:hAnsi="Times New Roman" w:eastAsia="宋体" w:cs="Times New Roman"/>
                <w:b/>
                <w:bCs/>
                <w:color w:val="auto"/>
                <w:szCs w:val="21"/>
                <w:lang w:eastAsia="zh-CN"/>
              </w:rPr>
              <w:t>颗粒物</w:t>
            </w:r>
            <w:r>
              <w:rPr>
                <w:rFonts w:hint="default" w:ascii="Times New Roman" w:hAnsi="Times New Roman" w:eastAsia="宋体" w:cs="Times New Roman"/>
                <w:b/>
                <w:bCs/>
                <w:color w:val="auto"/>
                <w:szCs w:val="21"/>
              </w:rPr>
              <w:t>排放监测结果</w:t>
            </w:r>
            <w:r>
              <w:rPr>
                <w:rFonts w:hint="default" w:ascii="Times New Roman" w:hAnsi="Times New Roman" w:eastAsia="宋体" w:cs="Times New Roman"/>
                <w:bCs/>
                <w:color w:val="auto"/>
                <w:szCs w:val="21"/>
                <w:lang w:val="zh-CN"/>
              </w:rPr>
              <w:t>（</w:t>
            </w:r>
            <w:r>
              <w:rPr>
                <w:rFonts w:hint="default" w:ascii="Times New Roman" w:hAnsi="Times New Roman" w:eastAsia="宋体" w:cs="Times New Roman"/>
                <w:b/>
                <w:bCs/>
                <w:color w:val="auto"/>
                <w:szCs w:val="21"/>
                <w:lang w:val="zh-CN"/>
              </w:rPr>
              <w:t>单位：</w:t>
            </w:r>
            <w:r>
              <w:rPr>
                <w:rFonts w:hint="default" w:ascii="Times New Roman" w:hAnsi="Times New Roman" w:eastAsia="宋体" w:cs="Times New Roman"/>
                <w:b/>
                <w:bCs/>
                <w:color w:val="auto"/>
                <w:szCs w:val="21"/>
              </w:rPr>
              <w:t>mg/m</w:t>
            </w:r>
            <w:r>
              <w:rPr>
                <w:rFonts w:hint="default" w:ascii="Times New Roman" w:hAnsi="Times New Roman" w:eastAsia="宋体" w:cs="Times New Roman"/>
                <w:b/>
                <w:bCs/>
                <w:color w:val="auto"/>
                <w:szCs w:val="21"/>
                <w:vertAlign w:val="superscript"/>
              </w:rPr>
              <w:t>3</w:t>
            </w:r>
            <w:r>
              <w:rPr>
                <w:rFonts w:hint="default" w:ascii="Times New Roman" w:hAnsi="Times New Roman" w:eastAsia="宋体" w:cs="Times New Roman"/>
                <w:b/>
                <w:bCs/>
                <w:color w:val="auto"/>
                <w:szCs w:val="21"/>
                <w:lang w:val="zh-CN"/>
              </w:rPr>
              <w:t>）</w:t>
            </w:r>
          </w:p>
          <w:tbl>
            <w:tblPr>
              <w:tblStyle w:val="24"/>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1663"/>
              <w:gridCol w:w="1447"/>
              <w:gridCol w:w="1612"/>
              <w:gridCol w:w="1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exact"/>
                <w:jc w:val="center"/>
              </w:trPr>
              <w:tc>
                <w:tcPr>
                  <w:tcW w:w="1806" w:type="dxa"/>
                  <w:tcBorders>
                    <w:tl2br w:val="nil"/>
                    <w:tr2bl w:val="nil"/>
                  </w:tcBorders>
                  <w:vAlign w:val="center"/>
                </w:tcPr>
                <w:p>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采样时间</w:t>
                  </w:r>
                </w:p>
                <w:p>
                  <w:pPr>
                    <w:spacing w:line="360" w:lineRule="auto"/>
                    <w:jc w:val="center"/>
                    <w:rPr>
                      <w:rFonts w:hint="default" w:ascii="Times New Roman" w:hAnsi="Times New Roman" w:eastAsia="宋体" w:cs="Times New Roman"/>
                      <w:color w:val="auto"/>
                      <w:szCs w:val="21"/>
                      <w:highlight w:val="none"/>
                    </w:rPr>
                  </w:pPr>
                </w:p>
                <w:p>
                  <w:pPr>
                    <w:spacing w:line="360" w:lineRule="auto"/>
                    <w:jc w:val="center"/>
                    <w:rPr>
                      <w:rFonts w:hint="default" w:ascii="Times New Roman" w:hAnsi="Times New Roman" w:eastAsia="宋体" w:cs="Times New Roman"/>
                      <w:color w:val="auto"/>
                      <w:szCs w:val="21"/>
                      <w:highlight w:val="none"/>
                    </w:rPr>
                  </w:pPr>
                </w:p>
              </w:tc>
              <w:tc>
                <w:tcPr>
                  <w:tcW w:w="1704" w:type="dxa"/>
                  <w:tcBorders>
                    <w:tl2br w:val="nil"/>
                    <w:tr2bl w:val="nil"/>
                  </w:tcBorders>
                  <w:vAlign w:val="center"/>
                </w:tcPr>
                <w:p>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监测点位</w:t>
                  </w:r>
                </w:p>
                <w:p>
                  <w:pPr>
                    <w:spacing w:line="360" w:lineRule="auto"/>
                    <w:jc w:val="center"/>
                    <w:rPr>
                      <w:rFonts w:hint="default" w:ascii="Times New Roman" w:hAnsi="Times New Roman" w:eastAsia="宋体" w:cs="Times New Roman"/>
                      <w:color w:val="auto"/>
                      <w:szCs w:val="21"/>
                      <w:highlight w:val="none"/>
                    </w:rPr>
                  </w:pPr>
                </w:p>
              </w:tc>
              <w:tc>
                <w:tcPr>
                  <w:tcW w:w="1482" w:type="dxa"/>
                  <w:tcBorders>
                    <w:tl2br w:val="nil"/>
                    <w:tr2bl w:val="nil"/>
                  </w:tcBorders>
                  <w:vAlign w:val="center"/>
                </w:tcPr>
                <w:p>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lang w:eastAsia="zh-CN"/>
                    </w:rPr>
                    <w:t>采样频次</w:t>
                  </w:r>
                </w:p>
              </w:tc>
              <w:tc>
                <w:tcPr>
                  <w:tcW w:w="1651" w:type="dxa"/>
                  <w:tcBorders>
                    <w:tl2br w:val="nil"/>
                    <w:tr2bl w:val="nil"/>
                  </w:tcBorders>
                  <w:vAlign w:val="center"/>
                </w:tcPr>
                <w:p>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检测项目</w:t>
                  </w:r>
                </w:p>
              </w:tc>
              <w:tc>
                <w:tcPr>
                  <w:tcW w:w="1663" w:type="dxa"/>
                  <w:tcBorders>
                    <w:tl2br w:val="nil"/>
                    <w:tr2bl w:val="nil"/>
                  </w:tcBorders>
                  <w:vAlign w:val="center"/>
                </w:tcPr>
                <w:p>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监测结果</w:t>
                  </w:r>
                </w:p>
                <w:p>
                  <w:pPr>
                    <w:spacing w:line="360" w:lineRule="auto"/>
                    <w:jc w:val="center"/>
                    <w:rPr>
                      <w:rFonts w:hint="default" w:ascii="Times New Roman" w:hAnsi="Times New Roman" w:eastAsia="宋体" w:cs="Times New Roman"/>
                      <w:color w:val="auto"/>
                      <w:szCs w:val="21"/>
                      <w:highlight w:val="none"/>
                    </w:rPr>
                  </w:pPr>
                </w:p>
                <w:p>
                  <w:pPr>
                    <w:spacing w:line="360" w:lineRule="auto"/>
                    <w:jc w:val="center"/>
                    <w:rPr>
                      <w:rFonts w:hint="default" w:ascii="Times New Roman" w:hAnsi="Times New Roman" w:eastAsia="宋体" w:cs="Times New Roman"/>
                      <w:color w:val="auto"/>
                      <w:szCs w:val="21"/>
                      <w:highlight w:val="none"/>
                    </w:rPr>
                  </w:pPr>
                </w:p>
                <w:p>
                  <w:pPr>
                    <w:spacing w:line="360" w:lineRule="auto"/>
                    <w:jc w:val="center"/>
                    <w:rPr>
                      <w:rFonts w:hint="default" w:ascii="Times New Roman" w:hAnsi="Times New Roman" w:eastAsia="宋体" w:cs="Times New Roman"/>
                      <w:color w:val="auto"/>
                      <w:szCs w:val="21"/>
                      <w:highlight w:val="none"/>
                    </w:rPr>
                  </w:pPr>
                </w:p>
                <w:p>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mg/m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mg/m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806" w:type="dxa"/>
                  <w:vMerge w:val="restart"/>
                  <w:tcBorders>
                    <w:tl2br w:val="nil"/>
                    <w:tr2bl w:val="nil"/>
                  </w:tcBorders>
                  <w:vAlign w:val="center"/>
                </w:tcPr>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eastAsia="zh-CN" w:bidi="ar"/>
                      <w14:textFill>
                        <w14:solidFill>
                          <w14:schemeClr w14:val="tx1"/>
                        </w14:solidFill>
                      </w14:textFill>
                    </w:rPr>
                    <w:t>2022年</w:t>
                  </w: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4</w:t>
                  </w:r>
                  <w:r>
                    <w:rPr>
                      <w:rFonts w:hint="default" w:ascii="Times New Roman" w:hAnsi="Times New Roman" w:eastAsia="宋体" w:cs="Times New Roman"/>
                      <w:color w:val="000000" w:themeColor="text1"/>
                      <w:kern w:val="0"/>
                      <w:szCs w:val="21"/>
                      <w:highlight w:val="none"/>
                      <w:lang w:eastAsia="zh-CN" w:bidi="ar"/>
                      <w14:textFill>
                        <w14:solidFill>
                          <w14:schemeClr w14:val="tx1"/>
                        </w14:solidFill>
                      </w14:textFill>
                    </w:rPr>
                    <w:t>月2</w:t>
                  </w: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Cs w:val="21"/>
                      <w:highlight w:val="none"/>
                      <w:lang w:eastAsia="zh-CN" w:bidi="ar"/>
                      <w14:textFill>
                        <w14:solidFill>
                          <w14:schemeClr w14:val="tx1"/>
                        </w14:solidFill>
                      </w14:textFill>
                    </w:rPr>
                    <w:t>日</w:t>
                  </w:r>
                </w:p>
              </w:tc>
              <w:tc>
                <w:tcPr>
                  <w:tcW w:w="1704" w:type="dxa"/>
                  <w:vMerge w:val="restart"/>
                  <w:tcBorders>
                    <w:tl2br w:val="nil"/>
                    <w:tr2bl w:val="nil"/>
                  </w:tcBorders>
                  <w:vAlign w:val="center"/>
                </w:tcPr>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项目区上风向1</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w:t>
                  </w:r>
                </w:p>
              </w:tc>
              <w:tc>
                <w:tcPr>
                  <w:tcW w:w="1482" w:type="dxa"/>
                  <w:tcBorders>
                    <w:tl2br w:val="nil"/>
                    <w:tr2bl w:val="nil"/>
                  </w:tcBorders>
                  <w:vAlign w:val="center"/>
                </w:tcPr>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第一次</w:t>
                  </w:r>
                </w:p>
              </w:tc>
              <w:tc>
                <w:tcPr>
                  <w:tcW w:w="1651" w:type="dxa"/>
                  <w:vMerge w:val="restart"/>
                  <w:tcBorders>
                    <w:tl2br w:val="nil"/>
                    <w:tr2bl w:val="nil"/>
                  </w:tcBorders>
                  <w:vAlign w:val="center"/>
                </w:tcPr>
                <w:p>
                  <w:pPr>
                    <w:spacing w:line="120" w:lineRule="auto"/>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eastAsia="zh-CN"/>
                      <w14:textFill>
                        <w14:solidFill>
                          <w14:schemeClr w14:val="tx1"/>
                        </w14:solidFill>
                      </w14:textFill>
                    </w:rPr>
                    <w:t>颗粒物</w:t>
                  </w:r>
                </w:p>
              </w:tc>
              <w:tc>
                <w:tcPr>
                  <w:tcW w:w="1663"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806"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704"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482" w:type="dxa"/>
                  <w:tcBorders>
                    <w:tl2br w:val="nil"/>
                    <w:tr2bl w:val="nil"/>
                  </w:tcBorders>
                  <w:vAlign w:val="center"/>
                </w:tcPr>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第二次</w:t>
                  </w:r>
                </w:p>
              </w:tc>
              <w:tc>
                <w:tcPr>
                  <w:tcW w:w="1651" w:type="dxa"/>
                  <w:vMerge w:val="continue"/>
                  <w:tcBorders>
                    <w:tl2br w:val="nil"/>
                    <w:tr2bl w:val="nil"/>
                  </w:tcBorders>
                  <w:vAlign w:val="center"/>
                </w:tcPr>
                <w:p>
                  <w:pPr>
                    <w:spacing w:line="12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663"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806"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704"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482" w:type="dxa"/>
                  <w:tcBorders>
                    <w:tl2br w:val="nil"/>
                    <w:tr2bl w:val="nil"/>
                  </w:tcBorders>
                  <w:vAlign w:val="center"/>
                </w:tcPr>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第三次</w:t>
                  </w:r>
                </w:p>
              </w:tc>
              <w:tc>
                <w:tcPr>
                  <w:tcW w:w="1651" w:type="dxa"/>
                  <w:vMerge w:val="continue"/>
                  <w:tcBorders>
                    <w:tl2br w:val="nil"/>
                    <w:tr2bl w:val="nil"/>
                  </w:tcBorders>
                  <w:vAlign w:val="center"/>
                </w:tcPr>
                <w:p>
                  <w:pPr>
                    <w:spacing w:line="12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663"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806"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704"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482" w:type="dxa"/>
                  <w:tcBorders>
                    <w:tl2br w:val="nil"/>
                    <w:tr2bl w:val="nil"/>
                  </w:tcBorders>
                  <w:vAlign w:val="center"/>
                </w:tcPr>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第四次</w:t>
                  </w:r>
                </w:p>
              </w:tc>
              <w:tc>
                <w:tcPr>
                  <w:tcW w:w="1651" w:type="dxa"/>
                  <w:vMerge w:val="continue"/>
                  <w:tcBorders>
                    <w:tl2br w:val="nil"/>
                    <w:tr2bl w:val="nil"/>
                  </w:tcBorders>
                  <w:vAlign w:val="center"/>
                </w:tcPr>
                <w:p>
                  <w:pPr>
                    <w:spacing w:line="12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663"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jc w:val="center"/>
              </w:trPr>
              <w:tc>
                <w:tcPr>
                  <w:tcW w:w="1806" w:type="dxa"/>
                  <w:vMerge w:val="restart"/>
                  <w:tcBorders>
                    <w:tl2br w:val="nil"/>
                    <w:tr2bl w:val="nil"/>
                  </w:tcBorders>
                  <w:vAlign w:val="center"/>
                </w:tcPr>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eastAsia="zh-CN" w:bidi="ar"/>
                      <w14:textFill>
                        <w14:solidFill>
                          <w14:schemeClr w14:val="tx1"/>
                        </w14:solidFill>
                      </w14:textFill>
                    </w:rPr>
                    <w:t>2022年</w:t>
                  </w: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4</w:t>
                  </w:r>
                  <w:r>
                    <w:rPr>
                      <w:rFonts w:hint="default" w:ascii="Times New Roman" w:hAnsi="Times New Roman" w:eastAsia="宋体" w:cs="Times New Roman"/>
                      <w:color w:val="000000" w:themeColor="text1"/>
                      <w:kern w:val="0"/>
                      <w:szCs w:val="21"/>
                      <w:highlight w:val="none"/>
                      <w:lang w:eastAsia="zh-CN" w:bidi="ar"/>
                      <w14:textFill>
                        <w14:solidFill>
                          <w14:schemeClr w14:val="tx1"/>
                        </w14:solidFill>
                      </w14:textFill>
                    </w:rPr>
                    <w:t>月2</w:t>
                  </w: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6</w:t>
                  </w:r>
                  <w:r>
                    <w:rPr>
                      <w:rFonts w:hint="default" w:ascii="Times New Roman" w:hAnsi="Times New Roman" w:eastAsia="宋体" w:cs="Times New Roman"/>
                      <w:color w:val="000000" w:themeColor="text1"/>
                      <w:kern w:val="0"/>
                      <w:szCs w:val="21"/>
                      <w:highlight w:val="none"/>
                      <w:lang w:eastAsia="zh-CN" w:bidi="ar"/>
                      <w14:textFill>
                        <w14:solidFill>
                          <w14:schemeClr w14:val="tx1"/>
                        </w14:solidFill>
                      </w14:textFill>
                    </w:rPr>
                    <w:t>日</w:t>
                  </w:r>
                </w:p>
              </w:tc>
              <w:tc>
                <w:tcPr>
                  <w:tcW w:w="1704"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482"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第一次</w:t>
                  </w:r>
                </w:p>
              </w:tc>
              <w:tc>
                <w:tcPr>
                  <w:tcW w:w="1651" w:type="dxa"/>
                  <w:vMerge w:val="continue"/>
                  <w:tcBorders>
                    <w:tl2br w:val="nil"/>
                    <w:tr2bl w:val="nil"/>
                  </w:tcBorders>
                  <w:vAlign w:val="center"/>
                </w:tcPr>
                <w:p>
                  <w:pPr>
                    <w:spacing w:line="12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663"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806"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704"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482"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第二次</w:t>
                  </w:r>
                </w:p>
              </w:tc>
              <w:tc>
                <w:tcPr>
                  <w:tcW w:w="1651" w:type="dxa"/>
                  <w:vMerge w:val="continue"/>
                  <w:tcBorders>
                    <w:tl2br w:val="nil"/>
                    <w:tr2bl w:val="nil"/>
                  </w:tcBorders>
                  <w:vAlign w:val="center"/>
                </w:tcPr>
                <w:p>
                  <w:pPr>
                    <w:spacing w:line="12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663"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806"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704"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482"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第三次</w:t>
                  </w:r>
                </w:p>
              </w:tc>
              <w:tc>
                <w:tcPr>
                  <w:tcW w:w="1651" w:type="dxa"/>
                  <w:vMerge w:val="continue"/>
                  <w:tcBorders>
                    <w:tl2br w:val="nil"/>
                    <w:tr2bl w:val="nil"/>
                  </w:tcBorders>
                  <w:vAlign w:val="center"/>
                </w:tcPr>
                <w:p>
                  <w:pPr>
                    <w:spacing w:line="12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663"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806"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704"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482"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第四次</w:t>
                  </w:r>
                </w:p>
              </w:tc>
              <w:tc>
                <w:tcPr>
                  <w:tcW w:w="1651" w:type="dxa"/>
                  <w:vMerge w:val="continue"/>
                  <w:tcBorders>
                    <w:tl2br w:val="nil"/>
                    <w:tr2bl w:val="nil"/>
                  </w:tcBorders>
                  <w:vAlign w:val="center"/>
                </w:tcPr>
                <w:p>
                  <w:pPr>
                    <w:spacing w:line="12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663"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806" w:type="dxa"/>
                  <w:vMerge w:val="restart"/>
                  <w:tcBorders>
                    <w:tl2br w:val="nil"/>
                    <w:tr2bl w:val="nil"/>
                  </w:tcBorders>
                  <w:vAlign w:val="center"/>
                </w:tcPr>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eastAsia="zh-CN" w:bidi="ar"/>
                      <w14:textFill>
                        <w14:solidFill>
                          <w14:schemeClr w14:val="tx1"/>
                        </w14:solidFill>
                      </w14:textFill>
                    </w:rPr>
                    <w:t>2022年</w:t>
                  </w: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4</w:t>
                  </w:r>
                  <w:r>
                    <w:rPr>
                      <w:rFonts w:hint="default" w:ascii="Times New Roman" w:hAnsi="Times New Roman" w:eastAsia="宋体" w:cs="Times New Roman"/>
                      <w:color w:val="000000" w:themeColor="text1"/>
                      <w:kern w:val="0"/>
                      <w:szCs w:val="21"/>
                      <w:highlight w:val="none"/>
                      <w:lang w:eastAsia="zh-CN" w:bidi="ar"/>
                      <w14:textFill>
                        <w14:solidFill>
                          <w14:schemeClr w14:val="tx1"/>
                        </w14:solidFill>
                      </w14:textFill>
                    </w:rPr>
                    <w:t>月2</w:t>
                  </w: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Cs w:val="21"/>
                      <w:highlight w:val="none"/>
                      <w:lang w:eastAsia="zh-CN" w:bidi="ar"/>
                      <w14:textFill>
                        <w14:solidFill>
                          <w14:schemeClr w14:val="tx1"/>
                        </w14:solidFill>
                      </w14:textFill>
                    </w:rPr>
                    <w:t>日</w:t>
                  </w:r>
                </w:p>
              </w:tc>
              <w:tc>
                <w:tcPr>
                  <w:tcW w:w="1704" w:type="dxa"/>
                  <w:vMerge w:val="restart"/>
                  <w:tcBorders>
                    <w:tl2br w:val="nil"/>
                    <w:tr2bl w:val="nil"/>
                  </w:tcBorders>
                  <w:vAlign w:val="center"/>
                </w:tcPr>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项目区下风向2</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w:t>
                  </w:r>
                </w:p>
              </w:tc>
              <w:tc>
                <w:tcPr>
                  <w:tcW w:w="1482"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第一次</w:t>
                  </w:r>
                </w:p>
              </w:tc>
              <w:tc>
                <w:tcPr>
                  <w:tcW w:w="1651" w:type="dxa"/>
                  <w:vMerge w:val="continue"/>
                  <w:tcBorders>
                    <w:tl2br w:val="nil"/>
                    <w:tr2bl w:val="nil"/>
                  </w:tcBorders>
                  <w:vAlign w:val="center"/>
                </w:tcPr>
                <w:p>
                  <w:pPr>
                    <w:spacing w:line="12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663"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806"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704"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482"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第二次</w:t>
                  </w:r>
                </w:p>
              </w:tc>
              <w:tc>
                <w:tcPr>
                  <w:tcW w:w="1651" w:type="dxa"/>
                  <w:vMerge w:val="continue"/>
                  <w:tcBorders>
                    <w:tl2br w:val="nil"/>
                    <w:tr2bl w:val="nil"/>
                  </w:tcBorders>
                  <w:vAlign w:val="center"/>
                </w:tcPr>
                <w:p>
                  <w:pPr>
                    <w:spacing w:line="12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663"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806"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704"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482"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第三次</w:t>
                  </w:r>
                </w:p>
              </w:tc>
              <w:tc>
                <w:tcPr>
                  <w:tcW w:w="1651" w:type="dxa"/>
                  <w:vMerge w:val="continue"/>
                  <w:tcBorders>
                    <w:tl2br w:val="nil"/>
                    <w:tr2bl w:val="nil"/>
                  </w:tcBorders>
                  <w:vAlign w:val="center"/>
                </w:tcPr>
                <w:p>
                  <w:pPr>
                    <w:spacing w:line="12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663"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806"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704"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482"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第四次</w:t>
                  </w:r>
                </w:p>
              </w:tc>
              <w:tc>
                <w:tcPr>
                  <w:tcW w:w="1651" w:type="dxa"/>
                  <w:vMerge w:val="continue"/>
                  <w:tcBorders>
                    <w:tl2br w:val="nil"/>
                    <w:tr2bl w:val="nil"/>
                  </w:tcBorders>
                  <w:vAlign w:val="center"/>
                </w:tcPr>
                <w:p>
                  <w:pPr>
                    <w:spacing w:line="12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663"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806" w:type="dxa"/>
                  <w:vMerge w:val="restart"/>
                  <w:tcBorders>
                    <w:tl2br w:val="nil"/>
                    <w:tr2bl w:val="nil"/>
                  </w:tcBorders>
                  <w:vAlign w:val="center"/>
                </w:tcPr>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eastAsia="zh-CN" w:bidi="ar"/>
                      <w14:textFill>
                        <w14:solidFill>
                          <w14:schemeClr w14:val="tx1"/>
                        </w14:solidFill>
                      </w14:textFill>
                    </w:rPr>
                    <w:t>2022年</w:t>
                  </w: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4</w:t>
                  </w:r>
                  <w:r>
                    <w:rPr>
                      <w:rFonts w:hint="default" w:ascii="Times New Roman" w:hAnsi="Times New Roman" w:eastAsia="宋体" w:cs="Times New Roman"/>
                      <w:color w:val="000000" w:themeColor="text1"/>
                      <w:kern w:val="0"/>
                      <w:szCs w:val="21"/>
                      <w:highlight w:val="none"/>
                      <w:lang w:eastAsia="zh-CN" w:bidi="ar"/>
                      <w14:textFill>
                        <w14:solidFill>
                          <w14:schemeClr w14:val="tx1"/>
                        </w14:solidFill>
                      </w14:textFill>
                    </w:rPr>
                    <w:t>月2</w:t>
                  </w: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6</w:t>
                  </w:r>
                  <w:r>
                    <w:rPr>
                      <w:rFonts w:hint="default" w:ascii="Times New Roman" w:hAnsi="Times New Roman" w:eastAsia="宋体" w:cs="Times New Roman"/>
                      <w:color w:val="000000" w:themeColor="text1"/>
                      <w:kern w:val="0"/>
                      <w:szCs w:val="21"/>
                      <w:highlight w:val="none"/>
                      <w:lang w:eastAsia="zh-CN" w:bidi="ar"/>
                      <w14:textFill>
                        <w14:solidFill>
                          <w14:schemeClr w14:val="tx1"/>
                        </w14:solidFill>
                      </w14:textFill>
                    </w:rPr>
                    <w:t>日</w:t>
                  </w:r>
                </w:p>
              </w:tc>
              <w:tc>
                <w:tcPr>
                  <w:tcW w:w="1704"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482"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第一次</w:t>
                  </w:r>
                </w:p>
              </w:tc>
              <w:tc>
                <w:tcPr>
                  <w:tcW w:w="1651" w:type="dxa"/>
                  <w:vMerge w:val="continue"/>
                  <w:tcBorders>
                    <w:tl2br w:val="nil"/>
                    <w:tr2bl w:val="nil"/>
                  </w:tcBorders>
                  <w:vAlign w:val="center"/>
                </w:tcPr>
                <w:p>
                  <w:pPr>
                    <w:spacing w:line="12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663"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806"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704"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482"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第二次</w:t>
                  </w:r>
                </w:p>
              </w:tc>
              <w:tc>
                <w:tcPr>
                  <w:tcW w:w="1651" w:type="dxa"/>
                  <w:vMerge w:val="continue"/>
                  <w:tcBorders>
                    <w:tl2br w:val="nil"/>
                    <w:tr2bl w:val="nil"/>
                  </w:tcBorders>
                  <w:vAlign w:val="center"/>
                </w:tcPr>
                <w:p>
                  <w:pPr>
                    <w:spacing w:line="12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663"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806"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704"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482"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第三次</w:t>
                  </w:r>
                </w:p>
              </w:tc>
              <w:tc>
                <w:tcPr>
                  <w:tcW w:w="1651" w:type="dxa"/>
                  <w:vMerge w:val="continue"/>
                  <w:tcBorders>
                    <w:tl2br w:val="nil"/>
                    <w:tr2bl w:val="nil"/>
                  </w:tcBorders>
                  <w:vAlign w:val="center"/>
                </w:tcPr>
                <w:p>
                  <w:pPr>
                    <w:spacing w:line="12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663"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806"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704"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482"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第四次</w:t>
                  </w:r>
                </w:p>
              </w:tc>
              <w:tc>
                <w:tcPr>
                  <w:tcW w:w="1651" w:type="dxa"/>
                  <w:vMerge w:val="continue"/>
                  <w:tcBorders>
                    <w:tl2br w:val="nil"/>
                    <w:tr2bl w:val="nil"/>
                  </w:tcBorders>
                  <w:vAlign w:val="center"/>
                </w:tcPr>
                <w:p>
                  <w:pPr>
                    <w:spacing w:line="12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663"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806" w:type="dxa"/>
                  <w:vMerge w:val="restart"/>
                  <w:tcBorders>
                    <w:tl2br w:val="nil"/>
                    <w:tr2bl w:val="nil"/>
                  </w:tcBorders>
                  <w:vAlign w:val="center"/>
                </w:tcPr>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eastAsia="zh-CN" w:bidi="ar"/>
                      <w14:textFill>
                        <w14:solidFill>
                          <w14:schemeClr w14:val="tx1"/>
                        </w14:solidFill>
                      </w14:textFill>
                    </w:rPr>
                    <w:t>2022年</w:t>
                  </w: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4</w:t>
                  </w:r>
                  <w:r>
                    <w:rPr>
                      <w:rFonts w:hint="default" w:ascii="Times New Roman" w:hAnsi="Times New Roman" w:eastAsia="宋体" w:cs="Times New Roman"/>
                      <w:color w:val="000000" w:themeColor="text1"/>
                      <w:kern w:val="0"/>
                      <w:szCs w:val="21"/>
                      <w:highlight w:val="none"/>
                      <w:lang w:eastAsia="zh-CN" w:bidi="ar"/>
                      <w14:textFill>
                        <w14:solidFill>
                          <w14:schemeClr w14:val="tx1"/>
                        </w14:solidFill>
                      </w14:textFill>
                    </w:rPr>
                    <w:t>月2</w:t>
                  </w: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Cs w:val="21"/>
                      <w:highlight w:val="none"/>
                      <w:lang w:eastAsia="zh-CN" w:bidi="ar"/>
                      <w14:textFill>
                        <w14:solidFill>
                          <w14:schemeClr w14:val="tx1"/>
                        </w14:solidFill>
                      </w14:textFill>
                    </w:rPr>
                    <w:t>日</w:t>
                  </w:r>
                </w:p>
              </w:tc>
              <w:tc>
                <w:tcPr>
                  <w:tcW w:w="1704" w:type="dxa"/>
                  <w:vMerge w:val="restart"/>
                  <w:tcBorders>
                    <w:tl2br w:val="nil"/>
                    <w:tr2bl w:val="nil"/>
                  </w:tcBorders>
                  <w:vAlign w:val="center"/>
                </w:tcPr>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项目区下风向3</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w:t>
                  </w:r>
                </w:p>
              </w:tc>
              <w:tc>
                <w:tcPr>
                  <w:tcW w:w="1482"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第一次</w:t>
                  </w:r>
                </w:p>
              </w:tc>
              <w:tc>
                <w:tcPr>
                  <w:tcW w:w="1651" w:type="dxa"/>
                  <w:vMerge w:val="continue"/>
                  <w:tcBorders>
                    <w:tl2br w:val="nil"/>
                    <w:tr2bl w:val="nil"/>
                  </w:tcBorders>
                  <w:vAlign w:val="center"/>
                </w:tcPr>
                <w:p>
                  <w:pPr>
                    <w:spacing w:line="120" w:lineRule="auto"/>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1663"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806"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704"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482"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第二次</w:t>
                  </w:r>
                </w:p>
              </w:tc>
              <w:tc>
                <w:tcPr>
                  <w:tcW w:w="1651" w:type="dxa"/>
                  <w:vMerge w:val="continue"/>
                  <w:tcBorders>
                    <w:tl2br w:val="nil"/>
                    <w:tr2bl w:val="nil"/>
                  </w:tcBorders>
                  <w:vAlign w:val="center"/>
                </w:tcPr>
                <w:p>
                  <w:pPr>
                    <w:spacing w:line="120" w:lineRule="auto"/>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1663"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806"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704"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482"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第三次</w:t>
                  </w:r>
                </w:p>
              </w:tc>
              <w:tc>
                <w:tcPr>
                  <w:tcW w:w="1651" w:type="dxa"/>
                  <w:vMerge w:val="continue"/>
                  <w:tcBorders>
                    <w:tl2br w:val="nil"/>
                    <w:tr2bl w:val="nil"/>
                  </w:tcBorders>
                  <w:vAlign w:val="center"/>
                </w:tcPr>
                <w:p>
                  <w:pPr>
                    <w:spacing w:line="120" w:lineRule="auto"/>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1663"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806"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704"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482"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第四次</w:t>
                  </w:r>
                </w:p>
              </w:tc>
              <w:tc>
                <w:tcPr>
                  <w:tcW w:w="1651" w:type="dxa"/>
                  <w:vMerge w:val="continue"/>
                  <w:tcBorders>
                    <w:tl2br w:val="nil"/>
                    <w:tr2bl w:val="nil"/>
                  </w:tcBorders>
                  <w:vAlign w:val="center"/>
                </w:tcPr>
                <w:p>
                  <w:pPr>
                    <w:spacing w:line="120" w:lineRule="auto"/>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1663"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宋体" w:hAnsi="宋体" w:eastAsia="宋体" w:cs="宋体"/>
                      <w:color w:val="auto"/>
                      <w:szCs w:val="21"/>
                      <w:lang w:val="en-US" w:eastAsia="zh-CN"/>
                    </w:rPr>
                    <w:t>0.408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806" w:type="dxa"/>
                  <w:vMerge w:val="restart"/>
                  <w:tcBorders>
                    <w:tl2br w:val="nil"/>
                    <w:tr2bl w:val="nil"/>
                  </w:tcBorders>
                  <w:vAlign w:val="center"/>
                </w:tcPr>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eastAsia="zh-CN" w:bidi="ar"/>
                      <w14:textFill>
                        <w14:solidFill>
                          <w14:schemeClr w14:val="tx1"/>
                        </w14:solidFill>
                      </w14:textFill>
                    </w:rPr>
                    <w:t>2022年</w:t>
                  </w: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4</w:t>
                  </w:r>
                  <w:r>
                    <w:rPr>
                      <w:rFonts w:hint="default" w:ascii="Times New Roman" w:hAnsi="Times New Roman" w:eastAsia="宋体" w:cs="Times New Roman"/>
                      <w:color w:val="000000" w:themeColor="text1"/>
                      <w:kern w:val="0"/>
                      <w:szCs w:val="21"/>
                      <w:highlight w:val="none"/>
                      <w:lang w:eastAsia="zh-CN" w:bidi="ar"/>
                      <w14:textFill>
                        <w14:solidFill>
                          <w14:schemeClr w14:val="tx1"/>
                        </w14:solidFill>
                      </w14:textFill>
                    </w:rPr>
                    <w:t>月2</w:t>
                  </w: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6</w:t>
                  </w:r>
                  <w:r>
                    <w:rPr>
                      <w:rFonts w:hint="default" w:ascii="Times New Roman" w:hAnsi="Times New Roman" w:eastAsia="宋体" w:cs="Times New Roman"/>
                      <w:color w:val="000000" w:themeColor="text1"/>
                      <w:kern w:val="0"/>
                      <w:szCs w:val="21"/>
                      <w:highlight w:val="none"/>
                      <w:lang w:eastAsia="zh-CN" w:bidi="ar"/>
                      <w14:textFill>
                        <w14:solidFill>
                          <w14:schemeClr w14:val="tx1"/>
                        </w14:solidFill>
                      </w14:textFill>
                    </w:rPr>
                    <w:t>日</w:t>
                  </w:r>
                </w:p>
              </w:tc>
              <w:tc>
                <w:tcPr>
                  <w:tcW w:w="1704"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482"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第一次</w:t>
                  </w:r>
                </w:p>
              </w:tc>
              <w:tc>
                <w:tcPr>
                  <w:tcW w:w="1651" w:type="dxa"/>
                  <w:vMerge w:val="continue"/>
                  <w:tcBorders>
                    <w:tl2br w:val="nil"/>
                    <w:tr2bl w:val="nil"/>
                  </w:tcBorders>
                  <w:vAlign w:val="center"/>
                </w:tcPr>
                <w:p>
                  <w:pPr>
                    <w:spacing w:line="120" w:lineRule="auto"/>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1663"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806"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704"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482"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第二次</w:t>
                  </w:r>
                </w:p>
              </w:tc>
              <w:tc>
                <w:tcPr>
                  <w:tcW w:w="1651" w:type="dxa"/>
                  <w:vMerge w:val="continue"/>
                  <w:tcBorders>
                    <w:tl2br w:val="nil"/>
                    <w:tr2bl w:val="nil"/>
                  </w:tcBorders>
                  <w:vAlign w:val="center"/>
                </w:tcPr>
                <w:p>
                  <w:pPr>
                    <w:spacing w:line="120" w:lineRule="auto"/>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1663"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806"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704"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482"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第三次</w:t>
                  </w:r>
                </w:p>
              </w:tc>
              <w:tc>
                <w:tcPr>
                  <w:tcW w:w="1651" w:type="dxa"/>
                  <w:vMerge w:val="continue"/>
                  <w:tcBorders>
                    <w:tl2br w:val="nil"/>
                    <w:tr2bl w:val="nil"/>
                  </w:tcBorders>
                  <w:vAlign w:val="center"/>
                </w:tcPr>
                <w:p>
                  <w:pPr>
                    <w:spacing w:line="120" w:lineRule="auto"/>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1663"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806"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704"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482"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第四次</w:t>
                  </w:r>
                </w:p>
              </w:tc>
              <w:tc>
                <w:tcPr>
                  <w:tcW w:w="1651" w:type="dxa"/>
                  <w:vMerge w:val="continue"/>
                  <w:tcBorders>
                    <w:tl2br w:val="nil"/>
                    <w:tr2bl w:val="nil"/>
                  </w:tcBorders>
                  <w:vAlign w:val="center"/>
                </w:tcPr>
                <w:p>
                  <w:pPr>
                    <w:spacing w:line="120" w:lineRule="auto"/>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1663"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806" w:type="dxa"/>
                  <w:vMerge w:val="restart"/>
                  <w:tcBorders>
                    <w:tl2br w:val="nil"/>
                    <w:tr2bl w:val="nil"/>
                  </w:tcBorders>
                  <w:vAlign w:val="center"/>
                </w:tcPr>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eastAsia="zh-CN" w:bidi="ar"/>
                      <w14:textFill>
                        <w14:solidFill>
                          <w14:schemeClr w14:val="tx1"/>
                        </w14:solidFill>
                      </w14:textFill>
                    </w:rPr>
                    <w:t>2022年</w:t>
                  </w: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4</w:t>
                  </w:r>
                  <w:r>
                    <w:rPr>
                      <w:rFonts w:hint="default" w:ascii="Times New Roman" w:hAnsi="Times New Roman" w:eastAsia="宋体" w:cs="Times New Roman"/>
                      <w:color w:val="000000" w:themeColor="text1"/>
                      <w:kern w:val="0"/>
                      <w:szCs w:val="21"/>
                      <w:highlight w:val="none"/>
                      <w:lang w:eastAsia="zh-CN" w:bidi="ar"/>
                      <w14:textFill>
                        <w14:solidFill>
                          <w14:schemeClr w14:val="tx1"/>
                        </w14:solidFill>
                      </w14:textFill>
                    </w:rPr>
                    <w:t>月2</w:t>
                  </w: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Cs w:val="21"/>
                      <w:highlight w:val="none"/>
                      <w:lang w:eastAsia="zh-CN" w:bidi="ar"/>
                      <w14:textFill>
                        <w14:solidFill>
                          <w14:schemeClr w14:val="tx1"/>
                        </w14:solidFill>
                      </w14:textFill>
                    </w:rPr>
                    <w:t>日</w:t>
                  </w:r>
                </w:p>
              </w:tc>
              <w:tc>
                <w:tcPr>
                  <w:tcW w:w="1704" w:type="dxa"/>
                  <w:vMerge w:val="restart"/>
                  <w:tcBorders>
                    <w:tl2br w:val="nil"/>
                    <w:tr2bl w:val="nil"/>
                  </w:tcBorders>
                  <w:vAlign w:val="center"/>
                </w:tcPr>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项目区下风向4</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w:t>
                  </w:r>
                </w:p>
              </w:tc>
              <w:tc>
                <w:tcPr>
                  <w:tcW w:w="1482"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第一次</w:t>
                  </w:r>
                </w:p>
              </w:tc>
              <w:tc>
                <w:tcPr>
                  <w:tcW w:w="1651" w:type="dxa"/>
                  <w:vMerge w:val="continue"/>
                  <w:tcBorders>
                    <w:tl2br w:val="nil"/>
                    <w:tr2bl w:val="nil"/>
                  </w:tcBorders>
                  <w:vAlign w:val="center"/>
                </w:tcPr>
                <w:p>
                  <w:pPr>
                    <w:spacing w:line="120" w:lineRule="auto"/>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1663"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806"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704"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482"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第二次</w:t>
                  </w:r>
                </w:p>
              </w:tc>
              <w:tc>
                <w:tcPr>
                  <w:tcW w:w="1651" w:type="dxa"/>
                  <w:vMerge w:val="continue"/>
                  <w:tcBorders>
                    <w:tl2br w:val="nil"/>
                    <w:tr2bl w:val="nil"/>
                  </w:tcBorders>
                  <w:vAlign w:val="center"/>
                </w:tcPr>
                <w:p>
                  <w:pPr>
                    <w:spacing w:line="120" w:lineRule="auto"/>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1663"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806"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704"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482"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第三次</w:t>
                  </w:r>
                </w:p>
              </w:tc>
              <w:tc>
                <w:tcPr>
                  <w:tcW w:w="1651" w:type="dxa"/>
                  <w:vMerge w:val="continue"/>
                  <w:tcBorders>
                    <w:tl2br w:val="nil"/>
                    <w:tr2bl w:val="nil"/>
                  </w:tcBorders>
                  <w:vAlign w:val="center"/>
                </w:tcPr>
                <w:p>
                  <w:pPr>
                    <w:spacing w:line="120" w:lineRule="auto"/>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1663"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806"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704"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482"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第四次</w:t>
                  </w:r>
                </w:p>
              </w:tc>
              <w:tc>
                <w:tcPr>
                  <w:tcW w:w="1651" w:type="dxa"/>
                  <w:vMerge w:val="continue"/>
                  <w:tcBorders>
                    <w:tl2br w:val="nil"/>
                    <w:tr2bl w:val="nil"/>
                  </w:tcBorders>
                  <w:vAlign w:val="center"/>
                </w:tcPr>
                <w:p>
                  <w:pPr>
                    <w:spacing w:line="120" w:lineRule="auto"/>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1663"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806" w:type="dxa"/>
                  <w:vMerge w:val="restart"/>
                  <w:tcBorders>
                    <w:tl2br w:val="nil"/>
                    <w:tr2bl w:val="nil"/>
                  </w:tcBorders>
                  <w:vAlign w:val="center"/>
                </w:tcPr>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eastAsia="zh-CN" w:bidi="ar"/>
                      <w14:textFill>
                        <w14:solidFill>
                          <w14:schemeClr w14:val="tx1"/>
                        </w14:solidFill>
                      </w14:textFill>
                    </w:rPr>
                    <w:t>2022年</w:t>
                  </w: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4</w:t>
                  </w:r>
                  <w:r>
                    <w:rPr>
                      <w:rFonts w:hint="default" w:ascii="Times New Roman" w:hAnsi="Times New Roman" w:eastAsia="宋体" w:cs="Times New Roman"/>
                      <w:color w:val="000000" w:themeColor="text1"/>
                      <w:kern w:val="0"/>
                      <w:szCs w:val="21"/>
                      <w:highlight w:val="none"/>
                      <w:lang w:eastAsia="zh-CN" w:bidi="ar"/>
                      <w14:textFill>
                        <w14:solidFill>
                          <w14:schemeClr w14:val="tx1"/>
                        </w14:solidFill>
                      </w14:textFill>
                    </w:rPr>
                    <w:t>月2</w:t>
                  </w: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6</w:t>
                  </w:r>
                  <w:r>
                    <w:rPr>
                      <w:rFonts w:hint="default" w:ascii="Times New Roman" w:hAnsi="Times New Roman" w:eastAsia="宋体" w:cs="Times New Roman"/>
                      <w:color w:val="000000" w:themeColor="text1"/>
                      <w:kern w:val="0"/>
                      <w:szCs w:val="21"/>
                      <w:highlight w:val="none"/>
                      <w:lang w:eastAsia="zh-CN" w:bidi="ar"/>
                      <w14:textFill>
                        <w14:solidFill>
                          <w14:schemeClr w14:val="tx1"/>
                        </w14:solidFill>
                      </w14:textFill>
                    </w:rPr>
                    <w:t>日</w:t>
                  </w:r>
                </w:p>
              </w:tc>
              <w:tc>
                <w:tcPr>
                  <w:tcW w:w="1704"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482"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第一次</w:t>
                  </w:r>
                </w:p>
              </w:tc>
              <w:tc>
                <w:tcPr>
                  <w:tcW w:w="1651" w:type="dxa"/>
                  <w:vMerge w:val="continue"/>
                  <w:tcBorders>
                    <w:tl2br w:val="nil"/>
                    <w:tr2bl w:val="nil"/>
                  </w:tcBorders>
                  <w:vAlign w:val="center"/>
                </w:tcPr>
                <w:p>
                  <w:pPr>
                    <w:spacing w:line="120" w:lineRule="auto"/>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1663"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806"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704"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482"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第二次</w:t>
                  </w:r>
                </w:p>
              </w:tc>
              <w:tc>
                <w:tcPr>
                  <w:tcW w:w="1651" w:type="dxa"/>
                  <w:vMerge w:val="continue"/>
                  <w:tcBorders>
                    <w:tl2br w:val="nil"/>
                    <w:tr2bl w:val="nil"/>
                  </w:tcBorders>
                  <w:vAlign w:val="center"/>
                </w:tcPr>
                <w:p>
                  <w:pPr>
                    <w:spacing w:line="120" w:lineRule="auto"/>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1663"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806"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704"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482"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第三次</w:t>
                  </w:r>
                </w:p>
              </w:tc>
              <w:tc>
                <w:tcPr>
                  <w:tcW w:w="1651" w:type="dxa"/>
                  <w:vMerge w:val="continue"/>
                  <w:tcBorders>
                    <w:tl2br w:val="nil"/>
                    <w:tr2bl w:val="nil"/>
                  </w:tcBorders>
                  <w:vAlign w:val="center"/>
                </w:tcPr>
                <w:p>
                  <w:pPr>
                    <w:spacing w:line="120" w:lineRule="auto"/>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1663" w:type="dxa"/>
                  <w:tcBorders>
                    <w:tl2br w:val="nil"/>
                    <w:tr2bl w:val="nil"/>
                  </w:tcBorders>
                  <w:vAlign w:val="center"/>
                </w:tcPr>
                <w:p>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806"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704" w:type="dxa"/>
                  <w:vMerge w:val="continue"/>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482"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第四次</w:t>
                  </w:r>
                </w:p>
              </w:tc>
              <w:tc>
                <w:tcPr>
                  <w:tcW w:w="1651" w:type="dxa"/>
                  <w:vMerge w:val="continue"/>
                  <w:tcBorders>
                    <w:tl2br w:val="nil"/>
                    <w:tr2bl w:val="nil"/>
                  </w:tcBorders>
                  <w:vAlign w:val="center"/>
                </w:tcPr>
                <w:p>
                  <w:pPr>
                    <w:spacing w:line="120" w:lineRule="auto"/>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1663" w:type="dxa"/>
                  <w:tcBorders>
                    <w:tl2br w:val="nil"/>
                    <w:tr2bl w:val="nil"/>
                  </w:tcBorders>
                  <w:vAlign w:val="center"/>
                </w:tcPr>
                <w:p>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6643" w:type="dxa"/>
                  <w:gridSpan w:val="4"/>
                  <w:tcBorders>
                    <w:tl2br w:val="nil"/>
                    <w:tr2bl w:val="nil"/>
                  </w:tcBorders>
                  <w:vAlign w:val="center"/>
                </w:tcPr>
                <w:p>
                  <w:pPr>
                    <w:spacing w:line="120" w:lineRule="auto"/>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浓度最大值</w:t>
                  </w:r>
                </w:p>
              </w:tc>
              <w:tc>
                <w:tcPr>
                  <w:tcW w:w="1663" w:type="dxa"/>
                  <w:tcBorders>
                    <w:tl2br w:val="nil"/>
                    <w:tr2bl w:val="nil"/>
                  </w:tcBorders>
                  <w:vAlign w:val="center"/>
                </w:tcPr>
                <w:p>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6643" w:type="dxa"/>
                  <w:gridSpan w:val="4"/>
                  <w:tcBorders>
                    <w:tl2br w:val="nil"/>
                    <w:tr2bl w:val="nil"/>
                  </w:tcBorders>
                  <w:vAlign w:val="center"/>
                </w:tcPr>
                <w:p>
                  <w:pPr>
                    <w:spacing w:line="120" w:lineRule="auto"/>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标准值</w:t>
                  </w:r>
                </w:p>
              </w:tc>
              <w:tc>
                <w:tcPr>
                  <w:tcW w:w="1663" w:type="dxa"/>
                  <w:tcBorders>
                    <w:tl2br w:val="nil"/>
                    <w:tr2bl w:val="nil"/>
                  </w:tcBorders>
                  <w:vAlign w:val="center"/>
                </w:tcPr>
                <w:p>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6643" w:type="dxa"/>
                  <w:gridSpan w:val="4"/>
                  <w:tcBorders>
                    <w:tl2br w:val="nil"/>
                    <w:tr2bl w:val="nil"/>
                  </w:tcBorders>
                  <w:vAlign w:val="center"/>
                </w:tcPr>
                <w:p>
                  <w:pPr>
                    <w:spacing w:line="120" w:lineRule="auto"/>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达标情况</w:t>
                  </w:r>
                </w:p>
              </w:tc>
              <w:tc>
                <w:tcPr>
                  <w:tcW w:w="1663" w:type="dxa"/>
                  <w:tcBorders>
                    <w:tl2br w:val="nil"/>
                    <w:tr2bl w:val="nil"/>
                  </w:tcBorders>
                  <w:vAlign w:val="center"/>
                </w:tcPr>
                <w:p>
                  <w:pPr>
                    <w:spacing w:line="120" w:lineRule="auto"/>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达标</w:t>
                  </w:r>
                </w:p>
              </w:tc>
            </w:tr>
          </w:tbl>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ascii="Times New Roman" w:hAnsi="Times New Roman" w:eastAsia="宋体" w:cs="Times New Roman"/>
                <w:w w:val="99"/>
                <w:sz w:val="24"/>
                <w:szCs w:val="24"/>
                <w:highlight w:val="none"/>
                <w:lang w:val="en-US" w:eastAsia="zh-CN"/>
              </w:rPr>
            </w:pPr>
            <w:r>
              <w:rPr>
                <w:rFonts w:hint="default" w:ascii="Times New Roman" w:hAnsi="Times New Roman" w:eastAsia="宋体" w:cs="Times New Roman"/>
                <w:color w:val="000000"/>
                <w:kern w:val="2"/>
                <w:sz w:val="24"/>
                <w:szCs w:val="24"/>
                <w:highlight w:val="none"/>
                <w:lang w:val="en-US" w:eastAsia="zh-CN" w:bidi="ar-SA"/>
              </w:rPr>
              <w:t>监测结果分析</w:t>
            </w:r>
            <w:r>
              <w:rPr>
                <w:rFonts w:hint="default" w:ascii="Times New Roman" w:hAnsi="Times New Roman" w:eastAsia="宋体" w:cs="Times New Roman"/>
                <w:w w:val="99"/>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验收期间，本项目</w:t>
            </w:r>
            <w:r>
              <w:rPr>
                <w:rFonts w:hint="default" w:ascii="Times New Roman" w:hAnsi="Times New Roman" w:eastAsia="宋体" w:cs="Times New Roman"/>
                <w:sz w:val="24"/>
                <w:szCs w:val="24"/>
              </w:rPr>
              <w:t>厂界无组织</w:t>
            </w:r>
            <w:r>
              <w:rPr>
                <w:rFonts w:hint="default" w:ascii="Times New Roman" w:hAnsi="Times New Roman" w:eastAsia="宋体" w:cs="Times New Roman"/>
                <w:sz w:val="24"/>
                <w:szCs w:val="24"/>
                <w:lang w:eastAsia="zh-CN"/>
              </w:rPr>
              <w:t>废气颗粒物排放浓度均满足《</w:t>
            </w:r>
            <w:r>
              <w:rPr>
                <w:rFonts w:hint="eastAsia" w:ascii="Times New Roman" w:hAnsi="Times New Roman" w:eastAsia="宋体" w:cs="Times New Roman"/>
                <w:sz w:val="24"/>
                <w:szCs w:val="24"/>
                <w:lang w:val="en-US" w:eastAsia="zh-CN"/>
              </w:rPr>
              <w:t>水泥工业</w:t>
            </w:r>
            <w:r>
              <w:rPr>
                <w:rFonts w:hint="default" w:ascii="Times New Roman" w:hAnsi="Times New Roman" w:eastAsia="宋体" w:cs="Times New Roman"/>
                <w:sz w:val="24"/>
                <w:szCs w:val="24"/>
                <w:lang w:eastAsia="zh-CN"/>
              </w:rPr>
              <w:t>大气污染物综合排放标准》（GB</w:t>
            </w:r>
            <w:r>
              <w:rPr>
                <w:rFonts w:hint="eastAsia" w:ascii="Times New Roman" w:hAnsi="Times New Roman" w:eastAsia="宋体" w:cs="Times New Roman"/>
                <w:sz w:val="24"/>
                <w:szCs w:val="24"/>
                <w:lang w:val="en-US" w:eastAsia="zh-CN"/>
              </w:rPr>
              <w:t>4915</w:t>
            </w:r>
            <w:r>
              <w:rPr>
                <w:rFonts w:hint="default"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2013</w:t>
            </w:r>
            <w:r>
              <w:rPr>
                <w:rFonts w:hint="default" w:ascii="Times New Roman" w:hAnsi="Times New Roman" w:eastAsia="宋体" w:cs="Times New Roman"/>
                <w:sz w:val="24"/>
                <w:szCs w:val="24"/>
                <w:lang w:eastAsia="zh-CN"/>
              </w:rPr>
              <w:t>）中表</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企业边界大气污染物排放限值要求</w:t>
            </w:r>
            <w:r>
              <w:rPr>
                <w:rFonts w:hint="default" w:ascii="Times New Roman" w:hAnsi="Times New Roman" w:eastAsia="宋体" w:cs="Times New Roman"/>
                <w:sz w:val="24"/>
                <w:szCs w:val="24"/>
                <w:lang w:eastAsia="zh-CN"/>
              </w:rPr>
              <w:t>。</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right="0" w:rightChars="0" w:firstLine="482" w:firstLineChars="200"/>
              <w:jc w:val="left"/>
              <w:textAlignment w:val="auto"/>
              <w:outlineLvl w:val="9"/>
              <w:rPr>
                <w:rFonts w:hint="default" w:ascii="Times New Roman" w:hAnsi="Times New Roman" w:eastAsia="宋体" w:cs="Times New Roman"/>
                <w:b/>
                <w:bCs/>
                <w:snapToGrid/>
                <w:color w:val="auto"/>
                <w:kern w:val="0"/>
                <w:sz w:val="24"/>
                <w:szCs w:val="22"/>
                <w:highlight w:val="none"/>
                <w:lang w:val="en-US" w:eastAsia="zh-CN" w:bidi="ar"/>
              </w:rPr>
            </w:pPr>
            <w:r>
              <w:rPr>
                <w:rFonts w:hint="default" w:ascii="Times New Roman" w:hAnsi="Times New Roman" w:eastAsia="宋体" w:cs="Times New Roman"/>
                <w:b/>
                <w:bCs/>
                <w:snapToGrid/>
                <w:color w:val="auto"/>
                <w:kern w:val="0"/>
                <w:sz w:val="24"/>
                <w:szCs w:val="22"/>
                <w:highlight w:val="none"/>
                <w:lang w:val="en-US" w:eastAsia="zh-CN" w:bidi="ar"/>
              </w:rPr>
              <w:t>废水监测内容</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2.1监测内容</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根据生产运行情况，废水监测内容见表</w:t>
            </w:r>
            <w:r>
              <w:rPr>
                <w:rFonts w:hint="default" w:ascii="Times New Roman" w:hAnsi="Times New Roman" w:eastAsia="宋体" w:cs="Times New Roman"/>
                <w:color w:val="auto"/>
                <w:sz w:val="24"/>
                <w:szCs w:val="24"/>
                <w:highlight w:val="none"/>
                <w:lang w:val="en-US" w:eastAsia="zh-CN"/>
              </w:rPr>
              <w:t>2.1-1</w:t>
            </w:r>
            <w:r>
              <w:rPr>
                <w:rFonts w:hint="default" w:ascii="Times New Roman" w:hAnsi="Times New Roman" w:eastAsia="宋体" w:cs="Times New Roman"/>
                <w:color w:val="auto"/>
                <w:sz w:val="24"/>
                <w:szCs w:val="24"/>
                <w:highlight w:val="none"/>
                <w:lang w:eastAsia="zh-CN"/>
              </w:rPr>
              <w:t>。</w:t>
            </w:r>
          </w:p>
          <w:p>
            <w:pPr>
              <w:pStyle w:val="4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lang w:val="zh-CN" w:eastAsia="zh-CN" w:bidi="ar-SA"/>
              </w:rPr>
            </w:pPr>
            <w:r>
              <w:rPr>
                <w:rFonts w:hint="default" w:ascii="Times New Roman" w:hAnsi="Times New Roman" w:eastAsia="宋体" w:cs="Times New Roman"/>
                <w:b/>
                <w:bCs/>
                <w:color w:val="auto"/>
                <w:kern w:val="2"/>
                <w:sz w:val="21"/>
                <w:szCs w:val="21"/>
                <w:lang w:val="zh-CN" w:eastAsia="zh-CN" w:bidi="ar-SA"/>
              </w:rPr>
              <w:t>表</w:t>
            </w:r>
            <w:r>
              <w:rPr>
                <w:rFonts w:hint="default" w:ascii="Times New Roman" w:hAnsi="Times New Roman" w:eastAsia="宋体" w:cs="Times New Roman"/>
                <w:b/>
                <w:bCs/>
                <w:color w:val="auto"/>
                <w:kern w:val="2"/>
                <w:sz w:val="21"/>
                <w:szCs w:val="21"/>
                <w:lang w:val="en-US" w:eastAsia="zh-CN" w:bidi="ar-SA"/>
              </w:rPr>
              <w:t>2.1-1</w:t>
            </w:r>
            <w:r>
              <w:rPr>
                <w:rFonts w:hint="default" w:ascii="Times New Roman" w:hAnsi="Times New Roman" w:eastAsia="宋体" w:cs="Times New Roman"/>
                <w:b/>
                <w:bCs/>
                <w:color w:val="auto"/>
                <w:kern w:val="2"/>
                <w:sz w:val="21"/>
                <w:szCs w:val="21"/>
                <w:lang w:val="zh-CN" w:eastAsia="zh-CN" w:bidi="ar-SA"/>
              </w:rPr>
              <w:t xml:space="preserve">   废水监测内容</w:t>
            </w:r>
          </w:p>
          <w:tbl>
            <w:tblPr>
              <w:tblStyle w:val="23"/>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4"/>
              <w:gridCol w:w="2129"/>
              <w:gridCol w:w="2733"/>
              <w:gridCol w:w="1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6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监测点位</w:t>
                  </w:r>
                </w:p>
              </w:tc>
              <w:tc>
                <w:tcPr>
                  <w:tcW w:w="21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编号</w:t>
                  </w:r>
                </w:p>
              </w:tc>
              <w:tc>
                <w:tcPr>
                  <w:tcW w:w="28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监测项目</w:t>
                  </w:r>
                </w:p>
              </w:tc>
              <w:tc>
                <w:tcPr>
                  <w:tcW w:w="18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废水</w:t>
                  </w:r>
                  <w:r>
                    <w:rPr>
                      <w:rFonts w:hint="default" w:ascii="Times New Roman" w:hAnsi="Times New Roman" w:eastAsia="宋体" w:cs="Times New Roman"/>
                      <w:color w:val="auto"/>
                      <w:sz w:val="21"/>
                      <w:szCs w:val="21"/>
                      <w:lang w:eastAsia="zh-CN"/>
                    </w:rPr>
                    <w:t>总排口</w:t>
                  </w:r>
                </w:p>
              </w:tc>
              <w:tc>
                <w:tcPr>
                  <w:tcW w:w="21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★1</w:t>
                  </w:r>
                </w:p>
              </w:tc>
              <w:tc>
                <w:tcPr>
                  <w:tcW w:w="28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bCs/>
                      <w:color w:val="auto"/>
                      <w:sz w:val="21"/>
                      <w:szCs w:val="21"/>
                      <w:lang w:val="en-US" w:eastAsia="zh-CN"/>
                    </w:rPr>
                    <w:t>pH、</w:t>
                  </w:r>
                  <w:r>
                    <w:rPr>
                      <w:rFonts w:hint="default" w:ascii="Times New Roman" w:hAnsi="Times New Roman" w:eastAsia="宋体" w:cs="Times New Roman"/>
                      <w:bCs/>
                      <w:color w:val="auto"/>
                      <w:sz w:val="21"/>
                      <w:szCs w:val="21"/>
                    </w:rPr>
                    <w:t>COD</w:t>
                  </w:r>
                  <w:r>
                    <w:rPr>
                      <w:rFonts w:hint="default" w:ascii="Times New Roman" w:hAnsi="Times New Roman" w:eastAsia="宋体" w:cs="Times New Roman"/>
                      <w:color w:val="auto"/>
                      <w:vertAlign w:val="subscript"/>
                    </w:rPr>
                    <w:t>Cr</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BOD</w:t>
                  </w:r>
                  <w:r>
                    <w:rPr>
                      <w:rFonts w:hint="default" w:ascii="Times New Roman" w:hAnsi="Times New Roman" w:eastAsia="宋体" w:cs="Times New Roman"/>
                      <w:bCs/>
                      <w:color w:val="auto"/>
                      <w:sz w:val="21"/>
                      <w:szCs w:val="21"/>
                      <w:vertAlign w:val="subscript"/>
                    </w:rPr>
                    <w:t>5</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SS</w:t>
                  </w:r>
                  <w:r>
                    <w:rPr>
                      <w:rFonts w:hint="default" w:ascii="Times New Roman" w:hAnsi="Times New Roman" w:eastAsia="宋体" w:cs="Times New Roman"/>
                      <w:bCs/>
                      <w:color w:val="auto"/>
                      <w:sz w:val="21"/>
                      <w:szCs w:val="21"/>
                      <w:lang w:eastAsia="zh-CN"/>
                    </w:rPr>
                    <w:t>、动植物油、石油类、</w:t>
                  </w:r>
                  <w:r>
                    <w:rPr>
                      <w:rFonts w:hint="default" w:ascii="Times New Roman" w:hAnsi="Times New Roman" w:eastAsia="宋体" w:cs="Times New Roman"/>
                      <w:bCs/>
                      <w:color w:val="auto"/>
                      <w:sz w:val="21"/>
                      <w:szCs w:val="21"/>
                      <w:lang w:val="en-US" w:eastAsia="zh-CN"/>
                    </w:rPr>
                    <w:t>LAS、NH</w:t>
                  </w:r>
                  <w:r>
                    <w:rPr>
                      <w:rFonts w:hint="default" w:ascii="Times New Roman" w:hAnsi="Times New Roman" w:eastAsia="宋体" w:cs="Times New Roman"/>
                      <w:bCs/>
                      <w:color w:val="auto"/>
                      <w:sz w:val="21"/>
                      <w:szCs w:val="21"/>
                      <w:vertAlign w:val="subscript"/>
                      <w:lang w:val="en-US" w:eastAsia="zh-CN"/>
                    </w:rPr>
                    <w:t>3</w:t>
                  </w:r>
                  <w:r>
                    <w:rPr>
                      <w:rFonts w:hint="default" w:ascii="Times New Roman" w:hAnsi="Times New Roman" w:eastAsia="宋体" w:cs="Times New Roman"/>
                      <w:bCs/>
                      <w:color w:val="auto"/>
                      <w:sz w:val="21"/>
                      <w:szCs w:val="21"/>
                      <w:lang w:val="en-US" w:eastAsia="zh-CN"/>
                    </w:rPr>
                    <w:t>-N</w:t>
                  </w:r>
                </w:p>
              </w:tc>
              <w:tc>
                <w:tcPr>
                  <w:tcW w:w="18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次/天，</w:t>
                  </w:r>
                  <w:r>
                    <w:rPr>
                      <w:rFonts w:hint="default" w:ascii="Times New Roman" w:hAnsi="Times New Roman" w:eastAsia="宋体" w:cs="Times New Roman"/>
                      <w:color w:val="auto"/>
                      <w:sz w:val="21"/>
                      <w:szCs w:val="21"/>
                      <w:lang w:eastAsia="zh-CN"/>
                    </w:rPr>
                    <w:t>监测</w:t>
                  </w:r>
                  <w:r>
                    <w:rPr>
                      <w:rFonts w:hint="default" w:ascii="Times New Roman" w:hAnsi="Times New Roman" w:eastAsia="宋体" w:cs="Times New Roman"/>
                      <w:color w:val="auto"/>
                      <w:sz w:val="21"/>
                      <w:szCs w:val="21"/>
                    </w:rPr>
                    <w:t>2天</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82"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2.2执行标准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根据环评及批复要求，生活污水，达到《污水综合排放标准》（GB8978-1996）三级标准，经排水管网进入园区污水处理厂处理，</w:t>
            </w:r>
            <w:r>
              <w:rPr>
                <w:rFonts w:hint="default" w:ascii="Times New Roman" w:hAnsi="Times New Roman" w:eastAsia="宋体" w:cs="Times New Roman"/>
                <w:color w:val="auto"/>
                <w:sz w:val="24"/>
                <w:szCs w:val="24"/>
                <w:highlight w:val="none"/>
                <w:lang w:eastAsia="zh-CN"/>
              </w:rPr>
              <w:t>评价标准见表</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2.2-1：</w:t>
            </w:r>
          </w:p>
          <w:p>
            <w:pPr>
              <w:pStyle w:val="4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eastAsia="宋体" w:cs="Times New Roman"/>
                <w:b/>
                <w:bCs/>
                <w:color w:val="000000"/>
                <w:kern w:val="2"/>
                <w:sz w:val="21"/>
                <w:szCs w:val="21"/>
                <w:lang w:val="en-US" w:eastAsia="zh-CN" w:bidi="ar-SA"/>
              </w:rPr>
              <w:t>表2.2-1  废水排放标准</w:t>
            </w:r>
          </w:p>
          <w:tbl>
            <w:tblPr>
              <w:tblStyle w:val="23"/>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765"/>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9" w:hRule="atLeast"/>
              </w:trPr>
              <w:tc>
                <w:tcPr>
                  <w:tcW w:w="1667" w:type="pct"/>
                  <w:vAlign w:val="center"/>
                </w:tcPr>
                <w:p>
                  <w:pPr>
                    <w:bidi w:val="0"/>
                    <w:jc w:val="center"/>
                    <w:rPr>
                      <w:rFonts w:hint="default" w:ascii="Times New Roman" w:hAnsi="Times New Roman" w:eastAsia="宋体" w:cs="Times New Roman"/>
                    </w:rPr>
                  </w:pPr>
                  <w:r>
                    <w:rPr>
                      <w:rFonts w:hint="default" w:ascii="Times New Roman" w:hAnsi="Times New Roman" w:eastAsia="宋体" w:cs="Times New Roman"/>
                    </w:rPr>
                    <w:t>污染因子</w:t>
                  </w:r>
                </w:p>
              </w:tc>
              <w:tc>
                <w:tcPr>
                  <w:tcW w:w="3332" w:type="pct"/>
                  <w:vAlign w:val="center"/>
                </w:tcPr>
                <w:p>
                  <w:pPr>
                    <w:bidi w:val="0"/>
                    <w:jc w:val="center"/>
                    <w:rPr>
                      <w:rFonts w:hint="default" w:ascii="Times New Roman" w:hAnsi="Times New Roman" w:eastAsia="宋体" w:cs="Times New Roman"/>
                    </w:rPr>
                  </w:pPr>
                  <w:r>
                    <w:rPr>
                      <w:rFonts w:hint="default" w:ascii="Times New Roman" w:hAnsi="Times New Roman" w:eastAsia="宋体" w:cs="Times New Roman"/>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67" w:type="pct"/>
                  <w:vAlign w:val="center"/>
                </w:tcPr>
                <w:p>
                  <w:pPr>
                    <w:bidi w:val="0"/>
                    <w:jc w:val="center"/>
                    <w:rPr>
                      <w:rFonts w:hint="default" w:ascii="Times New Roman" w:hAnsi="Times New Roman" w:eastAsia="宋体" w:cs="Times New Roman"/>
                    </w:rPr>
                  </w:pPr>
                  <w:r>
                    <w:rPr>
                      <w:rFonts w:hint="default" w:ascii="Times New Roman" w:hAnsi="Times New Roman" w:eastAsia="宋体" w:cs="Times New Roman"/>
                    </w:rPr>
                    <w:t>pH</w:t>
                  </w:r>
                </w:p>
              </w:tc>
              <w:tc>
                <w:tcPr>
                  <w:tcW w:w="3332" w:type="pct"/>
                  <w:vAlign w:val="center"/>
                </w:tcPr>
                <w:p>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67" w:type="pct"/>
                  <w:vAlign w:val="center"/>
                </w:tcPr>
                <w:p>
                  <w:pPr>
                    <w:bidi w:val="0"/>
                    <w:jc w:val="center"/>
                    <w:rPr>
                      <w:rFonts w:hint="default" w:ascii="Times New Roman" w:hAnsi="Times New Roman" w:eastAsia="宋体" w:cs="Times New Roman"/>
                    </w:rPr>
                  </w:pPr>
                  <w:r>
                    <w:rPr>
                      <w:rFonts w:hint="default" w:ascii="Times New Roman" w:hAnsi="Times New Roman" w:eastAsia="宋体" w:cs="Times New Roman"/>
                    </w:rPr>
                    <w:t>COD</w:t>
                  </w:r>
                  <w:r>
                    <w:rPr>
                      <w:rFonts w:hint="default" w:ascii="Times New Roman" w:hAnsi="Times New Roman" w:eastAsia="宋体" w:cs="Times New Roman"/>
                      <w:vertAlign w:val="subscript"/>
                    </w:rPr>
                    <w:t>Cr</w:t>
                  </w:r>
                </w:p>
              </w:tc>
              <w:tc>
                <w:tcPr>
                  <w:tcW w:w="3332" w:type="pct"/>
                  <w:vAlign w:val="center"/>
                </w:tcPr>
                <w:p>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500</w:t>
                  </w:r>
                  <w:r>
                    <w:rPr>
                      <w:rFonts w:hint="default" w:ascii="Times New Roman" w:hAnsi="Times New Roman" w:eastAsia="宋体" w:cs="Times New Roma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9" w:hRule="atLeast"/>
              </w:trPr>
              <w:tc>
                <w:tcPr>
                  <w:tcW w:w="1667" w:type="pct"/>
                  <w:vAlign w:val="center"/>
                </w:tcPr>
                <w:p>
                  <w:pPr>
                    <w:bidi w:val="0"/>
                    <w:jc w:val="center"/>
                    <w:rPr>
                      <w:rFonts w:hint="default" w:ascii="Times New Roman" w:hAnsi="Times New Roman" w:eastAsia="宋体" w:cs="Times New Roman"/>
                    </w:rPr>
                  </w:pPr>
                  <w:r>
                    <w:rPr>
                      <w:rFonts w:hint="default" w:ascii="Times New Roman" w:hAnsi="Times New Roman" w:eastAsia="宋体" w:cs="Times New Roman"/>
                    </w:rPr>
                    <w:t>BOD</w:t>
                  </w:r>
                  <w:r>
                    <w:rPr>
                      <w:rFonts w:hint="default" w:ascii="Times New Roman" w:hAnsi="Times New Roman" w:eastAsia="宋体" w:cs="Times New Roman"/>
                      <w:vertAlign w:val="subscript"/>
                    </w:rPr>
                    <w:t>5</w:t>
                  </w:r>
                </w:p>
              </w:tc>
              <w:tc>
                <w:tcPr>
                  <w:tcW w:w="3332" w:type="pct"/>
                  <w:vAlign w:val="center"/>
                </w:tcPr>
                <w:p>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300</w:t>
                  </w:r>
                  <w:r>
                    <w:rPr>
                      <w:rFonts w:hint="default" w:ascii="Times New Roman" w:hAnsi="Times New Roman" w:eastAsia="宋体" w:cs="Times New Roma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67" w:type="pct"/>
                  <w:vAlign w:val="center"/>
                </w:tcPr>
                <w:p>
                  <w:pPr>
                    <w:bidi w:val="0"/>
                    <w:jc w:val="center"/>
                    <w:rPr>
                      <w:rFonts w:hint="default" w:ascii="Times New Roman" w:hAnsi="Times New Roman" w:eastAsia="宋体" w:cs="Times New Roman"/>
                    </w:rPr>
                  </w:pPr>
                  <w:r>
                    <w:rPr>
                      <w:rFonts w:hint="default" w:ascii="Times New Roman" w:hAnsi="Times New Roman" w:eastAsia="宋体" w:cs="Times New Roman"/>
                    </w:rPr>
                    <w:t>SS</w:t>
                  </w:r>
                </w:p>
              </w:tc>
              <w:tc>
                <w:tcPr>
                  <w:tcW w:w="3332" w:type="pct"/>
                  <w:vAlign w:val="center"/>
                </w:tcPr>
                <w:p>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400</w:t>
                  </w:r>
                  <w:r>
                    <w:rPr>
                      <w:rFonts w:hint="default" w:ascii="Times New Roman" w:hAnsi="Times New Roman" w:eastAsia="宋体" w:cs="Times New Roma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9" w:hRule="atLeast"/>
              </w:trPr>
              <w:tc>
                <w:tcPr>
                  <w:tcW w:w="1667" w:type="pct"/>
                  <w:vAlign w:val="center"/>
                </w:tcPr>
                <w:p>
                  <w:pPr>
                    <w:bidi w:val="0"/>
                    <w:jc w:val="center"/>
                    <w:rPr>
                      <w:rFonts w:hint="default" w:ascii="Times New Roman" w:hAnsi="Times New Roman" w:eastAsia="宋体" w:cs="Times New Roman"/>
                    </w:rPr>
                  </w:pPr>
                  <w:r>
                    <w:rPr>
                      <w:rFonts w:hint="default" w:ascii="Times New Roman" w:hAnsi="Times New Roman" w:eastAsia="宋体" w:cs="Times New Roman"/>
                    </w:rPr>
                    <w:t>LAS</w:t>
                  </w:r>
                </w:p>
              </w:tc>
              <w:tc>
                <w:tcPr>
                  <w:tcW w:w="3332" w:type="pct"/>
                  <w:vAlign w:val="center"/>
                </w:tcPr>
                <w:p>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w:t>
                  </w:r>
                  <w:r>
                    <w:rPr>
                      <w:rFonts w:hint="default" w:ascii="Times New Roman" w:hAnsi="Times New Roman" w:eastAsia="宋体" w:cs="Times New Roma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67" w:type="pct"/>
                  <w:vAlign w:val="center"/>
                </w:tcPr>
                <w:p>
                  <w:pPr>
                    <w:bidi w:val="0"/>
                    <w:jc w:val="center"/>
                    <w:rPr>
                      <w:rFonts w:hint="default" w:ascii="Times New Roman" w:hAnsi="Times New Roman" w:eastAsia="宋体" w:cs="Times New Roman"/>
                    </w:rPr>
                  </w:pPr>
                  <w:r>
                    <w:rPr>
                      <w:rFonts w:hint="default" w:ascii="Times New Roman" w:hAnsi="Times New Roman" w:eastAsia="宋体" w:cs="Times New Roman"/>
                    </w:rPr>
                    <w:t>动植物油</w:t>
                  </w:r>
                </w:p>
              </w:tc>
              <w:tc>
                <w:tcPr>
                  <w:tcW w:w="3332" w:type="pct"/>
                  <w:vAlign w:val="center"/>
                </w:tcPr>
                <w:p>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100</w:t>
                  </w:r>
                  <w:r>
                    <w:rPr>
                      <w:rFonts w:hint="default" w:ascii="Times New Roman" w:hAnsi="Times New Roman" w:eastAsia="宋体" w:cs="Times New Roma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67" w:type="pct"/>
                  <w:vAlign w:val="center"/>
                </w:tcPr>
                <w:p>
                  <w:pPr>
                    <w:bidi w:val="0"/>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石油类</w:t>
                  </w:r>
                </w:p>
              </w:tc>
              <w:tc>
                <w:tcPr>
                  <w:tcW w:w="3332" w:type="pct"/>
                  <w:vAlign w:val="center"/>
                </w:tcPr>
                <w:p>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67" w:type="pct"/>
                  <w:vAlign w:val="center"/>
                </w:tcPr>
                <w:p>
                  <w:pPr>
                    <w:bidi w:val="0"/>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氨氮</w:t>
                  </w:r>
                </w:p>
              </w:tc>
              <w:tc>
                <w:tcPr>
                  <w:tcW w:w="3332" w:type="pct"/>
                  <w:vAlign w:val="center"/>
                </w:tcPr>
                <w:p>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1667" w:type="pct"/>
                  <w:vAlign w:val="center"/>
                </w:tcPr>
                <w:p>
                  <w:pPr>
                    <w:bidi w:val="0"/>
                    <w:jc w:val="center"/>
                    <w:rPr>
                      <w:rFonts w:hint="default" w:ascii="Times New Roman" w:hAnsi="Times New Roman" w:eastAsia="宋体" w:cs="Times New Roman"/>
                    </w:rPr>
                  </w:pPr>
                  <w:r>
                    <w:rPr>
                      <w:rFonts w:hint="default" w:ascii="Times New Roman" w:hAnsi="Times New Roman" w:eastAsia="宋体" w:cs="Times New Roman"/>
                    </w:rPr>
                    <w:t>标准来源</w:t>
                  </w:r>
                </w:p>
              </w:tc>
              <w:tc>
                <w:tcPr>
                  <w:tcW w:w="3332" w:type="pct"/>
                  <w:vAlign w:val="center"/>
                </w:tcPr>
                <w:p>
                  <w:pPr>
                    <w:bidi w:val="0"/>
                    <w:jc w:val="center"/>
                    <w:rPr>
                      <w:rFonts w:hint="default" w:ascii="Times New Roman" w:hAnsi="Times New Roman" w:eastAsia="宋体" w:cs="Times New Roman"/>
                    </w:rPr>
                  </w:pPr>
                  <w:r>
                    <w:rPr>
                      <w:rFonts w:hint="default" w:ascii="Times New Roman" w:hAnsi="Times New Roman" w:eastAsia="宋体" w:cs="Times New Roman"/>
                    </w:rPr>
                    <w:t>《污水综合排放标准》</w:t>
                  </w:r>
                  <w:r>
                    <w:rPr>
                      <w:rFonts w:hint="default" w:ascii="Times New Roman" w:hAnsi="Times New Roman" w:eastAsia="宋体" w:cs="Times New Roman"/>
                      <w:lang w:eastAsia="zh-CN"/>
                    </w:rPr>
                    <w:t>（</w:t>
                  </w:r>
                  <w:r>
                    <w:rPr>
                      <w:rFonts w:hint="default" w:ascii="Times New Roman" w:hAnsi="Times New Roman" w:eastAsia="宋体" w:cs="Times New Roman"/>
                    </w:rPr>
                    <w:t>GB8978-1996）三级标准</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82"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2.3监测结果及分析</w:t>
            </w:r>
          </w:p>
          <w:p>
            <w:pPr>
              <w:pStyle w:val="43"/>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color w:val="auto"/>
                <w:sz w:val="24"/>
                <w:szCs w:val="24"/>
                <w:highlight w:val="none"/>
                <w:lang w:val="zh-CN" w:eastAsia="zh-CN"/>
              </w:rPr>
            </w:pPr>
            <w:r>
              <w:rPr>
                <w:rFonts w:hint="default" w:ascii="Times New Roman" w:hAnsi="Times New Roman" w:eastAsia="宋体" w:cs="Times New Roman"/>
                <w:b/>
                <w:bCs/>
                <w:color w:val="auto"/>
                <w:kern w:val="2"/>
                <w:sz w:val="21"/>
                <w:szCs w:val="21"/>
                <w:lang w:val="zh-CN" w:eastAsia="zh-CN" w:bidi="ar-SA"/>
              </w:rPr>
              <w:t>表</w:t>
            </w:r>
            <w:r>
              <w:rPr>
                <w:rFonts w:hint="default" w:ascii="Times New Roman" w:hAnsi="Times New Roman" w:eastAsia="宋体" w:cs="Times New Roman"/>
                <w:b/>
                <w:bCs/>
                <w:color w:val="auto"/>
                <w:kern w:val="2"/>
                <w:sz w:val="21"/>
                <w:szCs w:val="21"/>
                <w:lang w:val="en-US" w:eastAsia="zh-CN" w:bidi="ar-SA"/>
              </w:rPr>
              <w:t>2.3-1</w:t>
            </w:r>
            <w:r>
              <w:rPr>
                <w:rFonts w:hint="default" w:ascii="Times New Roman" w:hAnsi="Times New Roman" w:eastAsia="宋体" w:cs="Times New Roman"/>
                <w:b/>
                <w:bCs/>
                <w:color w:val="auto"/>
                <w:kern w:val="2"/>
                <w:sz w:val="21"/>
                <w:szCs w:val="21"/>
                <w:lang w:val="zh-CN" w:eastAsia="zh-CN" w:bidi="ar-SA"/>
              </w:rPr>
              <w:t xml:space="preserve"> </w:t>
            </w:r>
            <w:r>
              <w:rPr>
                <w:rFonts w:hint="default" w:ascii="Times New Roman" w:hAnsi="Times New Roman" w:eastAsia="宋体" w:cs="Times New Roman"/>
                <w:b/>
                <w:bCs/>
                <w:color w:val="auto"/>
                <w:kern w:val="2"/>
                <w:sz w:val="21"/>
                <w:szCs w:val="21"/>
                <w:lang w:val="en-US" w:eastAsia="zh-CN" w:bidi="ar-SA"/>
              </w:rPr>
              <w:t xml:space="preserve"> </w:t>
            </w:r>
            <w:r>
              <w:rPr>
                <w:rFonts w:hint="default" w:ascii="Times New Roman" w:hAnsi="Times New Roman" w:eastAsia="宋体" w:cs="Times New Roman"/>
                <w:b/>
                <w:bCs/>
                <w:color w:val="auto"/>
                <w:kern w:val="2"/>
                <w:sz w:val="21"/>
                <w:szCs w:val="21"/>
                <w:lang w:val="zh-CN" w:eastAsia="zh-CN" w:bidi="ar-SA"/>
              </w:rPr>
              <w:t>废水总排口监测结果  单位：mg/L（pH除外）</w:t>
            </w:r>
          </w:p>
          <w:tbl>
            <w:tblPr>
              <w:tblStyle w:val="23"/>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673"/>
              <w:gridCol w:w="680"/>
              <w:gridCol w:w="680"/>
              <w:gridCol w:w="695"/>
              <w:gridCol w:w="680"/>
              <w:gridCol w:w="680"/>
              <w:gridCol w:w="680"/>
              <w:gridCol w:w="693"/>
              <w:gridCol w:w="723"/>
              <w:gridCol w:w="650"/>
              <w:gridCol w:w="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557" w:type="pct"/>
                  <w:vMerge w:val="restart"/>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监测因子</w:t>
                  </w:r>
                </w:p>
              </w:tc>
              <w:tc>
                <w:tcPr>
                  <w:tcW w:w="1645" w:type="pct"/>
                  <w:gridSpan w:val="4"/>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第一天</w:t>
                  </w:r>
                </w:p>
              </w:tc>
              <w:tc>
                <w:tcPr>
                  <w:tcW w:w="1648" w:type="pct"/>
                  <w:gridSpan w:val="4"/>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第二天</w:t>
                  </w:r>
                </w:p>
              </w:tc>
              <w:tc>
                <w:tcPr>
                  <w:tcW w:w="436" w:type="pct"/>
                  <w:vMerge w:val="restart"/>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两日平均值</w:t>
                  </w:r>
                </w:p>
              </w:tc>
              <w:tc>
                <w:tcPr>
                  <w:tcW w:w="392" w:type="pct"/>
                  <w:vMerge w:val="restart"/>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标准限值</w:t>
                  </w:r>
                </w:p>
              </w:tc>
              <w:tc>
                <w:tcPr>
                  <w:tcW w:w="319" w:type="pct"/>
                  <w:vMerge w:val="restart"/>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557" w:type="pct"/>
                  <w:vMerge w:val="continue"/>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06" w:type="pct"/>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第一次</w:t>
                  </w:r>
                </w:p>
              </w:tc>
              <w:tc>
                <w:tcPr>
                  <w:tcW w:w="410" w:type="pct"/>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第二次</w:t>
                  </w:r>
                </w:p>
              </w:tc>
              <w:tc>
                <w:tcPr>
                  <w:tcW w:w="410" w:type="pct"/>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第三次</w:t>
                  </w:r>
                </w:p>
              </w:tc>
              <w:tc>
                <w:tcPr>
                  <w:tcW w:w="418" w:type="pct"/>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日均值</w:t>
                  </w:r>
                </w:p>
              </w:tc>
              <w:tc>
                <w:tcPr>
                  <w:tcW w:w="410" w:type="pct"/>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第一次</w:t>
                  </w:r>
                </w:p>
              </w:tc>
              <w:tc>
                <w:tcPr>
                  <w:tcW w:w="410" w:type="pct"/>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第二次</w:t>
                  </w:r>
                </w:p>
              </w:tc>
              <w:tc>
                <w:tcPr>
                  <w:tcW w:w="410" w:type="pct"/>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第三次</w:t>
                  </w:r>
                </w:p>
              </w:tc>
              <w:tc>
                <w:tcPr>
                  <w:tcW w:w="418" w:type="pct"/>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日均值</w:t>
                  </w:r>
                </w:p>
              </w:tc>
              <w:tc>
                <w:tcPr>
                  <w:tcW w:w="436" w:type="pct"/>
                  <w:vMerge w:val="continue"/>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92" w:type="pct"/>
                  <w:vMerge w:val="continue"/>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19" w:type="pct"/>
                  <w:vMerge w:val="continue"/>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557" w:type="pct"/>
                  <w:noWrap w:val="0"/>
                  <w:vAlign w:val="center"/>
                </w:tcPr>
                <w:p>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pH</w:t>
                  </w:r>
                </w:p>
              </w:tc>
              <w:tc>
                <w:tcPr>
                  <w:tcW w:w="406"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7.33</w:t>
                  </w:r>
                </w:p>
              </w:tc>
              <w:tc>
                <w:tcPr>
                  <w:tcW w:w="410"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7.47</w:t>
                  </w:r>
                </w:p>
              </w:tc>
              <w:tc>
                <w:tcPr>
                  <w:tcW w:w="410"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7.47</w:t>
                  </w:r>
                </w:p>
              </w:tc>
              <w:tc>
                <w:tcPr>
                  <w:tcW w:w="418" w:type="pct"/>
                  <w:noWrap w:val="0"/>
                  <w:vAlign w:val="center"/>
                </w:tcPr>
                <w:p>
                  <w:pPr>
                    <w:bidi w:val="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w:t>
                  </w:r>
                </w:p>
              </w:tc>
              <w:tc>
                <w:tcPr>
                  <w:tcW w:w="410"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7.47</w:t>
                  </w:r>
                </w:p>
              </w:tc>
              <w:tc>
                <w:tcPr>
                  <w:tcW w:w="410"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7.36</w:t>
                  </w:r>
                </w:p>
              </w:tc>
              <w:tc>
                <w:tcPr>
                  <w:tcW w:w="410"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7.31</w:t>
                  </w:r>
                </w:p>
              </w:tc>
              <w:tc>
                <w:tcPr>
                  <w:tcW w:w="418"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w:t>
                  </w:r>
                </w:p>
              </w:tc>
              <w:tc>
                <w:tcPr>
                  <w:tcW w:w="436" w:type="pct"/>
                  <w:noWrap w:val="0"/>
                  <w:vAlign w:val="center"/>
                </w:tcPr>
                <w:p>
                  <w:pPr>
                    <w:jc w:val="center"/>
                    <w:rPr>
                      <w:rFonts w:hint="default" w:ascii="Times New Roman" w:hAnsi="Times New Roman" w:eastAsia="宋体" w:cs="Times New Roman"/>
                      <w:color w:val="000000" w:themeColor="text1"/>
                      <w:sz w:val="15"/>
                      <w:szCs w:val="15"/>
                      <w:lang w:val="en-US" w:eastAsia="zh-CN"/>
                      <w14:textFill>
                        <w14:solidFill>
                          <w14:schemeClr w14:val="tx1"/>
                        </w14:solidFill>
                      </w14:textFill>
                    </w:rPr>
                  </w:pPr>
                  <w:r>
                    <w:rPr>
                      <w:rFonts w:hint="eastAsia" w:ascii="Times New Roman" w:hAnsi="Times New Roman" w:eastAsia="宋体" w:cs="Times New Roman"/>
                      <w:color w:val="000000" w:themeColor="text1"/>
                      <w:sz w:val="15"/>
                      <w:szCs w:val="15"/>
                      <w:lang w:val="en-US" w:eastAsia="zh-CN"/>
                      <w14:textFill>
                        <w14:solidFill>
                          <w14:schemeClr w14:val="tx1"/>
                        </w14:solidFill>
                      </w14:textFill>
                    </w:rPr>
                    <w:t>/</w:t>
                  </w:r>
                </w:p>
              </w:tc>
              <w:tc>
                <w:tcPr>
                  <w:tcW w:w="392" w:type="pct"/>
                  <w:noWrap w:val="0"/>
                  <w:vAlign w:val="center"/>
                </w:tcPr>
                <w:p>
                  <w:pPr>
                    <w:snapToGrid w:val="0"/>
                    <w:ind w:left="72" w:leftChars="0"/>
                    <w:jc w:val="center"/>
                    <w:rPr>
                      <w:rFonts w:hint="default" w:ascii="Times New Roman" w:hAnsi="Times New Roman" w:eastAsia="宋体" w:cs="Times New Roman"/>
                      <w:color w:val="000000" w:themeColor="text1"/>
                      <w:sz w:val="15"/>
                      <w:szCs w:val="15"/>
                      <w14:textFill>
                        <w14:solidFill>
                          <w14:schemeClr w14:val="tx1"/>
                        </w14:solidFill>
                      </w14:textFill>
                    </w:rPr>
                  </w:pPr>
                  <w:r>
                    <w:rPr>
                      <w:rFonts w:hint="default" w:ascii="Times New Roman" w:hAnsi="Times New Roman" w:eastAsia="宋体" w:cs="Times New Roman"/>
                      <w:color w:val="auto"/>
                      <w:sz w:val="15"/>
                      <w:szCs w:val="15"/>
                      <w:lang w:val="en-US" w:eastAsia="zh-CN"/>
                    </w:rPr>
                    <w:t>6-9</w:t>
                  </w:r>
                </w:p>
              </w:tc>
              <w:tc>
                <w:tcPr>
                  <w:tcW w:w="319" w:type="pct"/>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557" w:type="pct"/>
                  <w:noWrap w:val="0"/>
                  <w:vAlign w:val="center"/>
                </w:tcPr>
                <w:p>
                  <w:pPr>
                    <w:pStyle w:val="44"/>
                    <w:widowControl w:val="0"/>
                    <w:pBdr>
                      <w:left w:val="none" w:color="auto" w:sz="0" w:space="0"/>
                      <w:bottom w:val="none" w:color="auto" w:sz="0" w:space="0"/>
                      <w:right w:val="none" w:color="auto" w:sz="0" w:space="0"/>
                    </w:pBdr>
                    <w:spacing w:before="0" w:beforeAutospacing="0" w:after="0" w:afterAutospacing="0"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COD</w:t>
                  </w:r>
                  <w:r>
                    <w:rPr>
                      <w:rFonts w:hint="default" w:ascii="Times New Roman" w:hAnsi="Times New Roman" w:eastAsia="宋体" w:cs="Times New Roman"/>
                      <w:color w:val="000000" w:themeColor="text1"/>
                      <w:kern w:val="2"/>
                      <w:sz w:val="21"/>
                      <w:szCs w:val="21"/>
                      <w:vertAlign w:val="subscript"/>
                      <w14:textFill>
                        <w14:solidFill>
                          <w14:schemeClr w14:val="tx1"/>
                        </w14:solidFill>
                      </w14:textFill>
                    </w:rPr>
                    <w:t>Cr</w:t>
                  </w:r>
                </w:p>
              </w:tc>
              <w:tc>
                <w:tcPr>
                  <w:tcW w:w="406"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109</w:t>
                  </w:r>
                </w:p>
              </w:tc>
              <w:tc>
                <w:tcPr>
                  <w:tcW w:w="410"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127</w:t>
                  </w:r>
                </w:p>
              </w:tc>
              <w:tc>
                <w:tcPr>
                  <w:tcW w:w="410"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99</w:t>
                  </w:r>
                </w:p>
              </w:tc>
              <w:tc>
                <w:tcPr>
                  <w:tcW w:w="418" w:type="pct"/>
                  <w:noWrap w:val="0"/>
                  <w:vAlign w:val="center"/>
                </w:tcPr>
                <w:p>
                  <w:pPr>
                    <w:bidi w:val="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112</w:t>
                  </w:r>
                </w:p>
              </w:tc>
              <w:tc>
                <w:tcPr>
                  <w:tcW w:w="410"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99</w:t>
                  </w:r>
                </w:p>
              </w:tc>
              <w:tc>
                <w:tcPr>
                  <w:tcW w:w="410"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126</w:t>
                  </w:r>
                </w:p>
              </w:tc>
              <w:tc>
                <w:tcPr>
                  <w:tcW w:w="410"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115</w:t>
                  </w:r>
                </w:p>
              </w:tc>
              <w:tc>
                <w:tcPr>
                  <w:tcW w:w="418"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113</w:t>
                  </w:r>
                </w:p>
              </w:tc>
              <w:tc>
                <w:tcPr>
                  <w:tcW w:w="436" w:type="pct"/>
                  <w:noWrap w:val="0"/>
                  <w:vAlign w:val="center"/>
                </w:tcPr>
                <w:p>
                  <w:pPr>
                    <w:jc w:val="center"/>
                    <w:rPr>
                      <w:rFonts w:hint="default" w:ascii="Times New Roman" w:hAnsi="Times New Roman" w:eastAsia="宋体" w:cs="Times New Roman"/>
                      <w:color w:val="000000" w:themeColor="text1"/>
                      <w:sz w:val="15"/>
                      <w:szCs w:val="15"/>
                      <w:lang w:val="en-US" w:eastAsia="zh-CN"/>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112</w:t>
                  </w:r>
                </w:p>
              </w:tc>
              <w:tc>
                <w:tcPr>
                  <w:tcW w:w="392" w:type="pct"/>
                  <w:noWrap w:val="0"/>
                  <w:vAlign w:val="center"/>
                </w:tcPr>
                <w:p>
                  <w:pPr>
                    <w:snapToGrid w:val="0"/>
                    <w:ind w:left="72" w:leftChars="0"/>
                    <w:jc w:val="center"/>
                    <w:rPr>
                      <w:rFonts w:hint="default" w:ascii="Times New Roman" w:hAnsi="Times New Roman" w:eastAsia="宋体" w:cs="Times New Roman"/>
                      <w:color w:val="000000" w:themeColor="text1"/>
                      <w:sz w:val="15"/>
                      <w:szCs w:val="15"/>
                      <w:lang w:val="en-US" w:eastAsia="zh-CN"/>
                      <w14:textFill>
                        <w14:solidFill>
                          <w14:schemeClr w14:val="tx1"/>
                        </w14:solidFill>
                      </w14:textFill>
                    </w:rPr>
                  </w:pPr>
                  <w:r>
                    <w:rPr>
                      <w:rFonts w:hint="default" w:ascii="Times New Roman" w:hAnsi="Times New Roman" w:eastAsia="宋体" w:cs="Times New Roman"/>
                      <w:color w:val="auto"/>
                      <w:sz w:val="15"/>
                      <w:szCs w:val="15"/>
                      <w:lang w:val="en-US" w:eastAsia="zh-CN"/>
                    </w:rPr>
                    <w:t>500</w:t>
                  </w:r>
                </w:p>
              </w:tc>
              <w:tc>
                <w:tcPr>
                  <w:tcW w:w="319" w:type="pct"/>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557" w:type="pct"/>
                  <w:noWrap w:val="0"/>
                  <w:vAlign w:val="center"/>
                </w:tcPr>
                <w:p>
                  <w:pPr>
                    <w:pStyle w:val="44"/>
                    <w:widowControl w:val="0"/>
                    <w:pBdr>
                      <w:left w:val="none" w:color="auto" w:sz="0" w:space="0"/>
                      <w:bottom w:val="none" w:color="auto" w:sz="0" w:space="0"/>
                      <w:right w:val="none" w:color="auto" w:sz="0" w:space="0"/>
                    </w:pBdr>
                    <w:spacing w:before="0" w:beforeAutospacing="0" w:after="0" w:afterAutospacing="0"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BOD</w:t>
                  </w:r>
                  <w:r>
                    <w:rPr>
                      <w:rFonts w:hint="default" w:ascii="Times New Roman" w:hAnsi="Times New Roman" w:eastAsia="宋体" w:cs="Times New Roman"/>
                      <w:color w:val="000000" w:themeColor="text1"/>
                      <w:kern w:val="2"/>
                      <w:sz w:val="21"/>
                      <w:szCs w:val="21"/>
                      <w:vertAlign w:val="subscript"/>
                      <w14:textFill>
                        <w14:solidFill>
                          <w14:schemeClr w14:val="tx1"/>
                        </w14:solidFill>
                      </w14:textFill>
                    </w:rPr>
                    <w:t>5</w:t>
                  </w:r>
                </w:p>
              </w:tc>
              <w:tc>
                <w:tcPr>
                  <w:tcW w:w="406"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29.1</w:t>
                  </w:r>
                </w:p>
              </w:tc>
              <w:tc>
                <w:tcPr>
                  <w:tcW w:w="410"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35.4</w:t>
                  </w:r>
                </w:p>
              </w:tc>
              <w:tc>
                <w:tcPr>
                  <w:tcW w:w="410"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27.0</w:t>
                  </w:r>
                </w:p>
              </w:tc>
              <w:tc>
                <w:tcPr>
                  <w:tcW w:w="418" w:type="pct"/>
                  <w:noWrap w:val="0"/>
                  <w:vAlign w:val="center"/>
                </w:tcPr>
                <w:p>
                  <w:pPr>
                    <w:bidi w:val="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30.5</w:t>
                  </w:r>
                </w:p>
              </w:tc>
              <w:tc>
                <w:tcPr>
                  <w:tcW w:w="410"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25.6</w:t>
                  </w:r>
                </w:p>
              </w:tc>
              <w:tc>
                <w:tcPr>
                  <w:tcW w:w="410"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37.5</w:t>
                  </w:r>
                </w:p>
              </w:tc>
              <w:tc>
                <w:tcPr>
                  <w:tcW w:w="410"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35.6</w:t>
                  </w:r>
                </w:p>
              </w:tc>
              <w:tc>
                <w:tcPr>
                  <w:tcW w:w="418"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32.9</w:t>
                  </w:r>
                </w:p>
              </w:tc>
              <w:tc>
                <w:tcPr>
                  <w:tcW w:w="436" w:type="pct"/>
                  <w:noWrap w:val="0"/>
                  <w:vAlign w:val="center"/>
                </w:tcPr>
                <w:p>
                  <w:pPr>
                    <w:jc w:val="center"/>
                    <w:rPr>
                      <w:rFonts w:hint="default" w:ascii="Times New Roman" w:hAnsi="Times New Roman" w:eastAsia="宋体" w:cs="Times New Roman"/>
                      <w:color w:val="000000" w:themeColor="text1"/>
                      <w:sz w:val="15"/>
                      <w:szCs w:val="15"/>
                      <w:lang w:val="en-US" w:eastAsia="zh-CN"/>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31.7</w:t>
                  </w:r>
                </w:p>
              </w:tc>
              <w:tc>
                <w:tcPr>
                  <w:tcW w:w="392" w:type="pct"/>
                  <w:noWrap w:val="0"/>
                  <w:vAlign w:val="center"/>
                </w:tcPr>
                <w:p>
                  <w:pPr>
                    <w:snapToGrid w:val="0"/>
                    <w:ind w:left="72" w:leftChars="0"/>
                    <w:jc w:val="center"/>
                    <w:rPr>
                      <w:rFonts w:hint="default" w:ascii="Times New Roman" w:hAnsi="Times New Roman" w:eastAsia="宋体" w:cs="Times New Roman"/>
                      <w:color w:val="000000" w:themeColor="text1"/>
                      <w:sz w:val="15"/>
                      <w:szCs w:val="15"/>
                      <w:lang w:val="en-US" w:eastAsia="zh-CN"/>
                      <w14:textFill>
                        <w14:solidFill>
                          <w14:schemeClr w14:val="tx1"/>
                        </w14:solidFill>
                      </w14:textFill>
                    </w:rPr>
                  </w:pPr>
                  <w:r>
                    <w:rPr>
                      <w:rFonts w:hint="default" w:ascii="Times New Roman" w:hAnsi="Times New Roman" w:eastAsia="宋体" w:cs="Times New Roman"/>
                      <w:color w:val="auto"/>
                      <w:sz w:val="15"/>
                      <w:szCs w:val="15"/>
                      <w:lang w:val="en-US" w:eastAsia="zh-CN"/>
                    </w:rPr>
                    <w:t>300</w:t>
                  </w:r>
                </w:p>
              </w:tc>
              <w:tc>
                <w:tcPr>
                  <w:tcW w:w="319" w:type="pct"/>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557" w:type="pct"/>
                  <w:noWrap w:val="0"/>
                  <w:vAlign w:val="center"/>
                </w:tcPr>
                <w:p>
                  <w:pPr>
                    <w:pStyle w:val="44"/>
                    <w:widowControl w:val="0"/>
                    <w:pBdr>
                      <w:left w:val="none" w:color="auto" w:sz="0" w:space="0"/>
                      <w:bottom w:val="none" w:color="auto" w:sz="0" w:space="0"/>
                      <w:right w:val="none" w:color="auto" w:sz="0" w:space="0"/>
                    </w:pBdr>
                    <w:spacing w:before="0" w:beforeAutospacing="0" w:after="0" w:afterAutospacing="0"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SS</w:t>
                  </w:r>
                </w:p>
              </w:tc>
              <w:tc>
                <w:tcPr>
                  <w:tcW w:w="406"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21</w:t>
                  </w:r>
                </w:p>
              </w:tc>
              <w:tc>
                <w:tcPr>
                  <w:tcW w:w="410"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19</w:t>
                  </w:r>
                </w:p>
              </w:tc>
              <w:tc>
                <w:tcPr>
                  <w:tcW w:w="410"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20</w:t>
                  </w:r>
                </w:p>
              </w:tc>
              <w:tc>
                <w:tcPr>
                  <w:tcW w:w="418" w:type="pct"/>
                  <w:noWrap w:val="0"/>
                  <w:vAlign w:val="center"/>
                </w:tcPr>
                <w:p>
                  <w:pPr>
                    <w:bidi w:val="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20</w:t>
                  </w:r>
                </w:p>
              </w:tc>
              <w:tc>
                <w:tcPr>
                  <w:tcW w:w="410"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18</w:t>
                  </w:r>
                </w:p>
              </w:tc>
              <w:tc>
                <w:tcPr>
                  <w:tcW w:w="410"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20</w:t>
                  </w:r>
                </w:p>
              </w:tc>
              <w:tc>
                <w:tcPr>
                  <w:tcW w:w="410"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17</w:t>
                  </w:r>
                </w:p>
              </w:tc>
              <w:tc>
                <w:tcPr>
                  <w:tcW w:w="418"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18</w:t>
                  </w:r>
                </w:p>
              </w:tc>
              <w:tc>
                <w:tcPr>
                  <w:tcW w:w="436" w:type="pct"/>
                  <w:noWrap w:val="0"/>
                  <w:vAlign w:val="center"/>
                </w:tcPr>
                <w:p>
                  <w:pPr>
                    <w:jc w:val="center"/>
                    <w:rPr>
                      <w:rFonts w:hint="default" w:ascii="Times New Roman" w:hAnsi="Times New Roman" w:eastAsia="宋体" w:cs="Times New Roman"/>
                      <w:color w:val="000000" w:themeColor="text1"/>
                      <w:sz w:val="15"/>
                      <w:szCs w:val="15"/>
                      <w:lang w:val="en-US" w:eastAsia="zh-CN"/>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19</w:t>
                  </w:r>
                </w:p>
              </w:tc>
              <w:tc>
                <w:tcPr>
                  <w:tcW w:w="392" w:type="pct"/>
                  <w:noWrap w:val="0"/>
                  <w:vAlign w:val="center"/>
                </w:tcPr>
                <w:p>
                  <w:pPr>
                    <w:snapToGrid w:val="0"/>
                    <w:ind w:left="72" w:leftChars="0"/>
                    <w:jc w:val="center"/>
                    <w:rPr>
                      <w:rFonts w:hint="default" w:ascii="Times New Roman" w:hAnsi="Times New Roman" w:eastAsia="宋体" w:cs="Times New Roman"/>
                      <w:color w:val="000000" w:themeColor="text1"/>
                      <w:sz w:val="15"/>
                      <w:szCs w:val="15"/>
                      <w:lang w:val="en-US" w:eastAsia="zh-CN"/>
                      <w14:textFill>
                        <w14:solidFill>
                          <w14:schemeClr w14:val="tx1"/>
                        </w14:solidFill>
                      </w14:textFill>
                    </w:rPr>
                  </w:pPr>
                  <w:r>
                    <w:rPr>
                      <w:rFonts w:hint="default" w:ascii="Times New Roman" w:hAnsi="Times New Roman" w:eastAsia="宋体" w:cs="Times New Roman"/>
                      <w:color w:val="auto"/>
                      <w:sz w:val="15"/>
                      <w:szCs w:val="15"/>
                      <w:lang w:val="en-US" w:eastAsia="zh-CN"/>
                    </w:rPr>
                    <w:t>400</w:t>
                  </w:r>
                </w:p>
              </w:tc>
              <w:tc>
                <w:tcPr>
                  <w:tcW w:w="319" w:type="pct"/>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557" w:type="pct"/>
                  <w:noWrap w:val="0"/>
                  <w:vAlign w:val="center"/>
                </w:tcPr>
                <w:p>
                  <w:pPr>
                    <w:pStyle w:val="44"/>
                    <w:widowControl w:val="0"/>
                    <w:pBdr>
                      <w:left w:val="none" w:color="auto" w:sz="0" w:space="0"/>
                      <w:bottom w:val="none" w:color="auto" w:sz="0" w:space="0"/>
                      <w:right w:val="none" w:color="auto" w:sz="0" w:space="0"/>
                    </w:pBdr>
                    <w:spacing w:before="0" w:beforeAutospacing="0" w:after="0" w:afterAutospacing="0" w:line="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氨氮</w:t>
                  </w:r>
                </w:p>
              </w:tc>
              <w:tc>
                <w:tcPr>
                  <w:tcW w:w="406"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1.668</w:t>
                  </w:r>
                </w:p>
              </w:tc>
              <w:tc>
                <w:tcPr>
                  <w:tcW w:w="410"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1.896</w:t>
                  </w:r>
                </w:p>
              </w:tc>
              <w:tc>
                <w:tcPr>
                  <w:tcW w:w="410"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2.426</w:t>
                  </w:r>
                </w:p>
              </w:tc>
              <w:tc>
                <w:tcPr>
                  <w:tcW w:w="418" w:type="pct"/>
                  <w:noWrap w:val="0"/>
                  <w:vAlign w:val="center"/>
                </w:tcPr>
                <w:p>
                  <w:pPr>
                    <w:bidi w:val="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1.997</w:t>
                  </w:r>
                </w:p>
              </w:tc>
              <w:tc>
                <w:tcPr>
                  <w:tcW w:w="410"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1.348</w:t>
                  </w:r>
                </w:p>
              </w:tc>
              <w:tc>
                <w:tcPr>
                  <w:tcW w:w="410"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1.995</w:t>
                  </w:r>
                </w:p>
              </w:tc>
              <w:tc>
                <w:tcPr>
                  <w:tcW w:w="410"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2.218</w:t>
                  </w:r>
                </w:p>
              </w:tc>
              <w:tc>
                <w:tcPr>
                  <w:tcW w:w="418"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1.853</w:t>
                  </w:r>
                </w:p>
              </w:tc>
              <w:tc>
                <w:tcPr>
                  <w:tcW w:w="436" w:type="pct"/>
                  <w:noWrap w:val="0"/>
                  <w:vAlign w:val="center"/>
                </w:tcPr>
                <w:p>
                  <w:pPr>
                    <w:jc w:val="center"/>
                    <w:rPr>
                      <w:rFonts w:hint="default" w:ascii="Times New Roman" w:hAnsi="Times New Roman" w:eastAsia="宋体" w:cs="Times New Roman"/>
                      <w:color w:val="000000" w:themeColor="text1"/>
                      <w:sz w:val="15"/>
                      <w:szCs w:val="15"/>
                      <w:lang w:val="en-US" w:eastAsia="zh-CN"/>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1.925</w:t>
                  </w:r>
                </w:p>
              </w:tc>
              <w:tc>
                <w:tcPr>
                  <w:tcW w:w="392" w:type="pct"/>
                  <w:noWrap w:val="0"/>
                  <w:vAlign w:val="center"/>
                </w:tcPr>
                <w:p>
                  <w:pPr>
                    <w:snapToGrid w:val="0"/>
                    <w:ind w:left="72" w:leftChars="0"/>
                    <w:jc w:val="center"/>
                    <w:rPr>
                      <w:rFonts w:hint="default" w:ascii="Times New Roman" w:hAnsi="Times New Roman" w:eastAsia="宋体" w:cs="Times New Roman"/>
                      <w:color w:val="000000" w:themeColor="text1"/>
                      <w:sz w:val="15"/>
                      <w:szCs w:val="15"/>
                      <w:lang w:val="en-US" w:eastAsia="zh-CN"/>
                      <w14:textFill>
                        <w14:solidFill>
                          <w14:schemeClr w14:val="tx1"/>
                        </w14:solidFill>
                      </w14:textFill>
                    </w:rPr>
                  </w:pPr>
                  <w:r>
                    <w:rPr>
                      <w:rFonts w:hint="default" w:ascii="Times New Roman" w:hAnsi="Times New Roman" w:eastAsia="宋体" w:cs="Times New Roman"/>
                      <w:color w:val="auto"/>
                      <w:sz w:val="15"/>
                      <w:szCs w:val="15"/>
                      <w:lang w:val="en-US" w:eastAsia="zh-CN"/>
                    </w:rPr>
                    <w:t>--</w:t>
                  </w:r>
                </w:p>
              </w:tc>
              <w:tc>
                <w:tcPr>
                  <w:tcW w:w="319" w:type="pct"/>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557" w:type="pct"/>
                  <w:noWrap w:val="0"/>
                  <w:vAlign w:val="center"/>
                </w:tcPr>
                <w:p>
                  <w:pPr>
                    <w:pStyle w:val="44"/>
                    <w:widowControl w:val="0"/>
                    <w:pBdr>
                      <w:left w:val="none" w:color="auto" w:sz="0" w:space="0"/>
                      <w:bottom w:val="none" w:color="auto" w:sz="0" w:space="0"/>
                      <w:right w:val="none" w:color="auto" w:sz="0" w:space="0"/>
                    </w:pBdr>
                    <w:spacing w:before="0" w:beforeAutospacing="0" w:after="0" w:afterAutospacing="0" w:line="0" w:lineRule="atLeast"/>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石油类</w:t>
                  </w:r>
                </w:p>
              </w:tc>
              <w:tc>
                <w:tcPr>
                  <w:tcW w:w="406"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0.36</w:t>
                  </w:r>
                </w:p>
              </w:tc>
              <w:tc>
                <w:tcPr>
                  <w:tcW w:w="410"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0.35</w:t>
                  </w:r>
                </w:p>
              </w:tc>
              <w:tc>
                <w:tcPr>
                  <w:tcW w:w="410"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0.36</w:t>
                  </w:r>
                </w:p>
              </w:tc>
              <w:tc>
                <w:tcPr>
                  <w:tcW w:w="418" w:type="pct"/>
                  <w:noWrap w:val="0"/>
                  <w:vAlign w:val="center"/>
                </w:tcPr>
                <w:p>
                  <w:pPr>
                    <w:bidi w:val="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0.36</w:t>
                  </w:r>
                </w:p>
              </w:tc>
              <w:tc>
                <w:tcPr>
                  <w:tcW w:w="410"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0.72</w:t>
                  </w:r>
                </w:p>
              </w:tc>
              <w:tc>
                <w:tcPr>
                  <w:tcW w:w="410"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0.72</w:t>
                  </w:r>
                </w:p>
              </w:tc>
              <w:tc>
                <w:tcPr>
                  <w:tcW w:w="410"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0.71</w:t>
                  </w:r>
                </w:p>
              </w:tc>
              <w:tc>
                <w:tcPr>
                  <w:tcW w:w="418"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0.72</w:t>
                  </w:r>
                </w:p>
              </w:tc>
              <w:tc>
                <w:tcPr>
                  <w:tcW w:w="436" w:type="pct"/>
                  <w:noWrap w:val="0"/>
                  <w:vAlign w:val="center"/>
                </w:tcPr>
                <w:p>
                  <w:pPr>
                    <w:jc w:val="center"/>
                    <w:rPr>
                      <w:rFonts w:hint="default" w:ascii="Times New Roman" w:hAnsi="Times New Roman" w:eastAsia="宋体" w:cs="Times New Roman"/>
                      <w:color w:val="000000" w:themeColor="text1"/>
                      <w:sz w:val="15"/>
                      <w:szCs w:val="15"/>
                      <w:lang w:val="en-US" w:eastAsia="zh-CN"/>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0.54</w:t>
                  </w:r>
                </w:p>
              </w:tc>
              <w:tc>
                <w:tcPr>
                  <w:tcW w:w="392" w:type="pct"/>
                  <w:noWrap w:val="0"/>
                  <w:vAlign w:val="center"/>
                </w:tcPr>
                <w:p>
                  <w:pPr>
                    <w:snapToGrid w:val="0"/>
                    <w:ind w:left="72" w:leftChars="0"/>
                    <w:jc w:val="center"/>
                    <w:rPr>
                      <w:rFonts w:hint="default" w:ascii="Times New Roman" w:hAnsi="Times New Roman" w:eastAsia="宋体" w:cs="Times New Roman"/>
                      <w:color w:val="000000" w:themeColor="text1"/>
                      <w:kern w:val="2"/>
                      <w:sz w:val="15"/>
                      <w:szCs w:val="15"/>
                      <w:lang w:val="en-US" w:eastAsia="zh-CN"/>
                      <w14:textFill>
                        <w14:solidFill>
                          <w14:schemeClr w14:val="tx1"/>
                        </w14:solidFill>
                      </w14:textFill>
                    </w:rPr>
                  </w:pPr>
                  <w:r>
                    <w:rPr>
                      <w:rFonts w:hint="default" w:ascii="Times New Roman" w:hAnsi="Times New Roman" w:eastAsia="宋体" w:cs="Times New Roman"/>
                      <w:color w:val="auto"/>
                      <w:sz w:val="15"/>
                      <w:szCs w:val="15"/>
                      <w:lang w:val="en-US" w:eastAsia="zh-CN"/>
                    </w:rPr>
                    <w:t>30</w:t>
                  </w:r>
                </w:p>
              </w:tc>
              <w:tc>
                <w:tcPr>
                  <w:tcW w:w="319" w:type="pct"/>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557" w:type="pct"/>
                  <w:noWrap w:val="0"/>
                  <w:vAlign w:val="center"/>
                </w:tcPr>
                <w:p>
                  <w:pPr>
                    <w:pStyle w:val="44"/>
                    <w:widowControl w:val="0"/>
                    <w:pBdr>
                      <w:left w:val="none" w:color="auto" w:sz="0" w:space="0"/>
                      <w:bottom w:val="none" w:color="auto" w:sz="0" w:space="0"/>
                      <w:right w:val="none" w:color="auto" w:sz="0" w:space="0"/>
                    </w:pBdr>
                    <w:spacing w:before="0" w:beforeAutospacing="0" w:after="0" w:afterAutospacing="0" w:line="0" w:lineRule="atLeast"/>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eastAsia="zh-CN"/>
                      <w14:textFill>
                        <w14:solidFill>
                          <w14:schemeClr w14:val="tx1"/>
                        </w14:solidFill>
                      </w14:textFill>
                    </w:rPr>
                    <w:t>动植物油</w:t>
                  </w:r>
                </w:p>
              </w:tc>
              <w:tc>
                <w:tcPr>
                  <w:tcW w:w="406"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2.45</w:t>
                  </w:r>
                </w:p>
              </w:tc>
              <w:tc>
                <w:tcPr>
                  <w:tcW w:w="410"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2.56</w:t>
                  </w:r>
                </w:p>
              </w:tc>
              <w:tc>
                <w:tcPr>
                  <w:tcW w:w="410"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2.52</w:t>
                  </w:r>
                </w:p>
              </w:tc>
              <w:tc>
                <w:tcPr>
                  <w:tcW w:w="418" w:type="pct"/>
                  <w:noWrap w:val="0"/>
                  <w:vAlign w:val="center"/>
                </w:tcPr>
                <w:p>
                  <w:pPr>
                    <w:bidi w:val="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2.51</w:t>
                  </w:r>
                </w:p>
              </w:tc>
              <w:tc>
                <w:tcPr>
                  <w:tcW w:w="410"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2.09</w:t>
                  </w:r>
                </w:p>
              </w:tc>
              <w:tc>
                <w:tcPr>
                  <w:tcW w:w="410"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2.18</w:t>
                  </w:r>
                </w:p>
              </w:tc>
              <w:tc>
                <w:tcPr>
                  <w:tcW w:w="410"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2.17</w:t>
                  </w:r>
                </w:p>
              </w:tc>
              <w:tc>
                <w:tcPr>
                  <w:tcW w:w="418"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2.15</w:t>
                  </w:r>
                </w:p>
              </w:tc>
              <w:tc>
                <w:tcPr>
                  <w:tcW w:w="436" w:type="pct"/>
                  <w:noWrap w:val="0"/>
                  <w:vAlign w:val="center"/>
                </w:tcPr>
                <w:p>
                  <w:pPr>
                    <w:jc w:val="center"/>
                    <w:rPr>
                      <w:rFonts w:hint="default" w:ascii="Times New Roman" w:hAnsi="Times New Roman" w:eastAsia="宋体" w:cs="Times New Roman"/>
                      <w:color w:val="000000" w:themeColor="text1"/>
                      <w:sz w:val="15"/>
                      <w:szCs w:val="15"/>
                      <w:lang w:val="en-US" w:eastAsia="zh-CN"/>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2.32</w:t>
                  </w:r>
                </w:p>
              </w:tc>
              <w:tc>
                <w:tcPr>
                  <w:tcW w:w="392" w:type="pct"/>
                  <w:noWrap w:val="0"/>
                  <w:vAlign w:val="center"/>
                </w:tcPr>
                <w:p>
                  <w:pPr>
                    <w:snapToGrid w:val="0"/>
                    <w:ind w:left="72" w:leftChars="0"/>
                    <w:jc w:val="center"/>
                    <w:rPr>
                      <w:rFonts w:hint="default" w:ascii="Times New Roman" w:hAnsi="Times New Roman" w:eastAsia="宋体" w:cs="Times New Roman"/>
                      <w:color w:val="000000" w:themeColor="text1"/>
                      <w:kern w:val="2"/>
                      <w:sz w:val="15"/>
                      <w:szCs w:val="15"/>
                      <w:lang w:val="en-US" w:eastAsia="zh-CN"/>
                      <w14:textFill>
                        <w14:solidFill>
                          <w14:schemeClr w14:val="tx1"/>
                        </w14:solidFill>
                      </w14:textFill>
                    </w:rPr>
                  </w:pPr>
                  <w:r>
                    <w:rPr>
                      <w:rFonts w:hint="default" w:ascii="Times New Roman" w:hAnsi="Times New Roman" w:eastAsia="宋体" w:cs="Times New Roman"/>
                      <w:color w:val="auto"/>
                      <w:kern w:val="2"/>
                      <w:sz w:val="15"/>
                      <w:szCs w:val="15"/>
                      <w:lang w:val="en-US" w:eastAsia="zh-CN" w:bidi="ar-SA"/>
                    </w:rPr>
                    <w:t>100</w:t>
                  </w:r>
                </w:p>
              </w:tc>
              <w:tc>
                <w:tcPr>
                  <w:tcW w:w="319" w:type="pct"/>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557" w:type="pct"/>
                  <w:noWrap w:val="0"/>
                  <w:vAlign w:val="center"/>
                </w:tcPr>
                <w:p>
                  <w:pPr>
                    <w:pStyle w:val="44"/>
                    <w:widowControl w:val="0"/>
                    <w:pBdr>
                      <w:left w:val="none" w:color="auto" w:sz="0" w:space="0"/>
                      <w:bottom w:val="none" w:color="auto" w:sz="0" w:space="0"/>
                      <w:right w:val="none" w:color="auto" w:sz="0" w:space="0"/>
                    </w:pBdr>
                    <w:spacing w:before="0" w:beforeAutospacing="0" w:after="0" w:afterAutospacing="0" w:line="0" w:lineRule="atLeast"/>
                    <w:jc w:val="center"/>
                    <w:rPr>
                      <w:rFonts w:hint="default" w:ascii="Times New Roman" w:hAnsi="Times New Roman" w:eastAsia="宋体" w:cs="Times New Roman"/>
                      <w:color w:val="000000" w:themeColor="text1"/>
                      <w:kern w:val="2"/>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LAS</w:t>
                  </w:r>
                </w:p>
              </w:tc>
              <w:tc>
                <w:tcPr>
                  <w:tcW w:w="406"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2.02</w:t>
                  </w:r>
                </w:p>
              </w:tc>
              <w:tc>
                <w:tcPr>
                  <w:tcW w:w="410"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2.10</w:t>
                  </w:r>
                </w:p>
              </w:tc>
              <w:tc>
                <w:tcPr>
                  <w:tcW w:w="410"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2.19</w:t>
                  </w:r>
                </w:p>
              </w:tc>
              <w:tc>
                <w:tcPr>
                  <w:tcW w:w="418" w:type="pct"/>
                  <w:noWrap w:val="0"/>
                  <w:vAlign w:val="center"/>
                </w:tcPr>
                <w:p>
                  <w:pPr>
                    <w:bidi w:val="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2.10</w:t>
                  </w:r>
                </w:p>
              </w:tc>
              <w:tc>
                <w:tcPr>
                  <w:tcW w:w="410"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1.86</w:t>
                  </w:r>
                </w:p>
              </w:tc>
              <w:tc>
                <w:tcPr>
                  <w:tcW w:w="410"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2.14</w:t>
                  </w:r>
                </w:p>
              </w:tc>
              <w:tc>
                <w:tcPr>
                  <w:tcW w:w="410"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2.21</w:t>
                  </w:r>
                </w:p>
              </w:tc>
              <w:tc>
                <w:tcPr>
                  <w:tcW w:w="418" w:type="pct"/>
                  <w:noWrap w:val="0"/>
                  <w:vAlign w:val="center"/>
                </w:tcPr>
                <w:p>
                  <w:pPr>
                    <w:snapToGrid w:val="0"/>
                    <w:ind w:left="72" w:left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2.07</w:t>
                  </w:r>
                </w:p>
              </w:tc>
              <w:tc>
                <w:tcPr>
                  <w:tcW w:w="436" w:type="pct"/>
                  <w:noWrap w:val="0"/>
                  <w:vAlign w:val="center"/>
                </w:tcPr>
                <w:p>
                  <w:pPr>
                    <w:jc w:val="center"/>
                    <w:rPr>
                      <w:rFonts w:hint="default" w:ascii="Times New Roman" w:hAnsi="Times New Roman" w:eastAsia="宋体" w:cs="Times New Roman"/>
                      <w:color w:val="000000" w:themeColor="text1"/>
                      <w:sz w:val="15"/>
                      <w:szCs w:val="15"/>
                      <w:lang w:val="en-US" w:eastAsia="zh-CN"/>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2.08</w:t>
                  </w:r>
                </w:p>
              </w:tc>
              <w:tc>
                <w:tcPr>
                  <w:tcW w:w="392" w:type="pct"/>
                  <w:noWrap w:val="0"/>
                  <w:vAlign w:val="center"/>
                </w:tcPr>
                <w:p>
                  <w:pPr>
                    <w:snapToGrid w:val="0"/>
                    <w:ind w:left="72" w:leftChars="0"/>
                    <w:jc w:val="center"/>
                    <w:rPr>
                      <w:rFonts w:hint="default" w:ascii="Times New Roman" w:hAnsi="Times New Roman" w:eastAsia="宋体" w:cs="Times New Roman"/>
                      <w:color w:val="000000" w:themeColor="text1"/>
                      <w:kern w:val="2"/>
                      <w:sz w:val="15"/>
                      <w:szCs w:val="15"/>
                      <w:lang w:val="en-US" w:eastAsia="zh-CN"/>
                      <w14:textFill>
                        <w14:solidFill>
                          <w14:schemeClr w14:val="tx1"/>
                        </w14:solidFill>
                      </w14:textFill>
                    </w:rPr>
                  </w:pPr>
                  <w:r>
                    <w:rPr>
                      <w:rFonts w:hint="default" w:ascii="Times New Roman" w:hAnsi="Times New Roman" w:eastAsia="宋体" w:cs="Times New Roman"/>
                      <w:color w:val="auto"/>
                      <w:kern w:val="2"/>
                      <w:sz w:val="15"/>
                      <w:szCs w:val="15"/>
                      <w:lang w:val="en-US" w:eastAsia="zh-CN" w:bidi="ar-SA"/>
                    </w:rPr>
                    <w:t>20</w:t>
                  </w:r>
                </w:p>
              </w:tc>
              <w:tc>
                <w:tcPr>
                  <w:tcW w:w="319" w:type="pct"/>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废水监测结果分析：</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验收监测期间，废水总排口：pH测定值为7.4~7.5，SS、COD</w:t>
            </w:r>
            <w:r>
              <w:rPr>
                <w:rFonts w:hint="default" w:ascii="Times New Roman" w:hAnsi="Times New Roman" w:eastAsia="宋体" w:cs="Times New Roman"/>
                <w:color w:val="auto"/>
                <w:sz w:val="24"/>
                <w:szCs w:val="24"/>
                <w:highlight w:val="none"/>
                <w:vertAlign w:val="subscript"/>
                <w:lang w:val="en-US" w:eastAsia="zh-CN"/>
              </w:rPr>
              <w:t>Cr</w:t>
            </w:r>
            <w:r>
              <w:rPr>
                <w:rFonts w:hint="default" w:ascii="Times New Roman" w:hAnsi="Times New Roman" w:eastAsia="宋体" w:cs="Times New Roman"/>
                <w:color w:val="auto"/>
                <w:sz w:val="24"/>
                <w:szCs w:val="24"/>
                <w:highlight w:val="none"/>
                <w:lang w:val="en-US" w:eastAsia="zh-CN"/>
              </w:rPr>
              <w:t>、BOD</w:t>
            </w:r>
            <w:r>
              <w:rPr>
                <w:rFonts w:hint="default" w:ascii="Times New Roman" w:hAnsi="Times New Roman" w:eastAsia="宋体" w:cs="Times New Roman"/>
                <w:color w:val="auto"/>
                <w:sz w:val="24"/>
                <w:szCs w:val="24"/>
                <w:highlight w:val="none"/>
                <w:vertAlign w:val="subscript"/>
                <w:lang w:val="en-US" w:eastAsia="zh-CN"/>
              </w:rPr>
              <w:t>5</w:t>
            </w:r>
            <w:r>
              <w:rPr>
                <w:rFonts w:hint="default" w:ascii="Times New Roman" w:hAnsi="Times New Roman" w:eastAsia="宋体" w:cs="Times New Roman"/>
                <w:color w:val="auto"/>
                <w:sz w:val="24"/>
                <w:szCs w:val="24"/>
                <w:highlight w:val="none"/>
                <w:lang w:val="en-US" w:eastAsia="zh-CN"/>
              </w:rPr>
              <w:t>、动植物油脂、石油类、LAS、氨氮日均浓度最大测定值均符合《污水综合排放标准》（GB8978-1996）三级标准要求。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eastAsia="zh-CN"/>
              </w:rPr>
              <w:t>三、厂界</w:t>
            </w:r>
            <w:r>
              <w:rPr>
                <w:rFonts w:hint="default" w:ascii="Times New Roman" w:hAnsi="Times New Roman" w:eastAsia="宋体" w:cs="Times New Roman"/>
                <w:b/>
                <w:bCs/>
                <w:color w:val="auto"/>
                <w:sz w:val="24"/>
                <w:szCs w:val="24"/>
                <w:highlight w:val="none"/>
              </w:rPr>
              <w:t>噪声监测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3.1监测内容</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根据生产运行和厂界情况，噪声监测内容见表</w:t>
            </w:r>
            <w:r>
              <w:rPr>
                <w:rFonts w:hint="default" w:ascii="Times New Roman" w:hAnsi="Times New Roman" w:eastAsia="宋体" w:cs="Times New Roman"/>
                <w:color w:val="auto"/>
                <w:sz w:val="24"/>
                <w:szCs w:val="24"/>
                <w:highlight w:val="none"/>
                <w:lang w:val="en-US" w:eastAsia="zh-CN"/>
              </w:rPr>
              <w:t>3.1-1，</w:t>
            </w:r>
            <w:r>
              <w:rPr>
                <w:rFonts w:hint="default" w:ascii="Times New Roman" w:hAnsi="Times New Roman" w:eastAsia="宋体" w:cs="Times New Roman"/>
                <w:color w:val="auto"/>
                <w:sz w:val="24"/>
                <w:szCs w:val="24"/>
                <w:highlight w:val="none"/>
                <w:lang w:eastAsia="zh-CN"/>
              </w:rPr>
              <w:t>监测点位见附图</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eastAsia="宋体" w:cs="Times New Roman"/>
                <w:b/>
                <w:bCs/>
                <w:color w:val="000000"/>
                <w:kern w:val="2"/>
                <w:sz w:val="21"/>
                <w:szCs w:val="21"/>
                <w:lang w:val="en-US" w:eastAsia="zh-CN" w:bidi="ar-SA"/>
              </w:rPr>
              <w:t>表3.1-1噪声监测内容</w:t>
            </w:r>
          </w:p>
          <w:tbl>
            <w:tblPr>
              <w:tblStyle w:val="23"/>
              <w:tblW w:w="83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4"/>
              <w:gridCol w:w="3255"/>
              <w:gridCol w:w="1658"/>
              <w:gridCol w:w="2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10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监测项目</w:t>
                  </w:r>
                </w:p>
              </w:tc>
              <w:tc>
                <w:tcPr>
                  <w:tcW w:w="325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监测点位</w:t>
                  </w:r>
                </w:p>
              </w:tc>
              <w:tc>
                <w:tcPr>
                  <w:tcW w:w="165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监测因子</w:t>
                  </w:r>
                </w:p>
              </w:tc>
              <w:tc>
                <w:tcPr>
                  <w:tcW w:w="232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0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厂界噪声</w:t>
                  </w:r>
                </w:p>
              </w:tc>
              <w:tc>
                <w:tcPr>
                  <w:tcW w:w="325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东北侧、东南侧、西南、西北侧厂界外1m处各设1个监测点位</w:t>
                  </w:r>
                </w:p>
              </w:tc>
              <w:tc>
                <w:tcPr>
                  <w:tcW w:w="165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等效连续A声级Leq</w:t>
                  </w:r>
                </w:p>
              </w:tc>
              <w:tc>
                <w:tcPr>
                  <w:tcW w:w="232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昼间、夜间1次，监测2天</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82"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3.2执行标准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厂界噪声执行《工业企业厂界环境噪声排放标准》（GB12348-2008）中</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类标准限值要求，评价标准见表</w:t>
            </w:r>
            <w:r>
              <w:rPr>
                <w:rFonts w:hint="default" w:ascii="Times New Roman" w:hAnsi="Times New Roman" w:eastAsia="宋体" w:cs="Times New Roman"/>
                <w:color w:val="auto"/>
                <w:sz w:val="24"/>
                <w:szCs w:val="24"/>
                <w:highlight w:val="none"/>
                <w:lang w:val="en-US" w:eastAsia="zh-CN"/>
              </w:rPr>
              <w:t>3.2-1。</w:t>
            </w:r>
          </w:p>
          <w:p>
            <w:pPr>
              <w:keepNext w:val="0"/>
              <w:keepLines w:val="0"/>
              <w:pageBreakBefore w:val="0"/>
              <w:widowControl w:val="0"/>
              <w:kinsoku/>
              <w:wordWrap/>
              <w:overflowPunct/>
              <w:topLinePunct w:val="0"/>
              <w:autoSpaceDE/>
              <w:autoSpaceDN/>
              <w:bidi w:val="0"/>
              <w:adjustRightInd/>
              <w:snapToGrid/>
              <w:spacing w:before="157" w:beforeLines="5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eastAsia="宋体" w:cs="Times New Roman"/>
                <w:b/>
                <w:bCs/>
                <w:color w:val="000000"/>
                <w:kern w:val="2"/>
                <w:sz w:val="21"/>
                <w:szCs w:val="21"/>
                <w:lang w:val="en-US" w:eastAsia="zh-CN" w:bidi="ar-SA"/>
              </w:rPr>
              <w:t>表3.2-1工业企业厂界环境噪声排放限值</w:t>
            </w:r>
          </w:p>
          <w:tbl>
            <w:tblPr>
              <w:tblStyle w:val="23"/>
              <w:tblW w:w="83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30"/>
              <w:gridCol w:w="2302"/>
              <w:gridCol w:w="2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 w:hRule="atLeast"/>
              </w:trPr>
              <w:tc>
                <w:tcPr>
                  <w:tcW w:w="373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jc w:val="center"/>
                    <w:textAlignment w:val="auto"/>
                    <w:outlineLvl w:val="9"/>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边界处声环境功能区类型</w:t>
                  </w:r>
                </w:p>
              </w:tc>
              <w:tc>
                <w:tcPr>
                  <w:tcW w:w="4604" w:type="dxa"/>
                  <w:gridSpan w:val="2"/>
                  <w:tcBorders>
                    <w:tl2br w:val="nil"/>
                    <w:tr2bl w:val="nil"/>
                  </w:tcBorders>
                  <w:vAlign w:val="center"/>
                </w:tcPr>
                <w:p>
                  <w:pPr>
                    <w:keepNext w:val="0"/>
                    <w:keepLines w:val="0"/>
                    <w:pageBreakBefore w:val="0"/>
                    <w:widowControl w:val="0"/>
                    <w:tabs>
                      <w:tab w:val="left" w:pos="900"/>
                    </w:tabs>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时段</w:t>
                  </w:r>
                  <w:r>
                    <w:rPr>
                      <w:rFonts w:hint="default" w:ascii="Times New Roman" w:hAnsi="Times New Roman" w:eastAsia="宋体" w:cs="Times New Roman"/>
                      <w:color w:val="auto"/>
                      <w:highlight w:val="none"/>
                    </w:rPr>
                    <w:t>dB</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 w:hRule="atLeast"/>
              </w:trPr>
              <w:tc>
                <w:tcPr>
                  <w:tcW w:w="373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jc w:val="center"/>
                    <w:textAlignment w:val="auto"/>
                    <w:outlineLvl w:val="9"/>
                    <w:rPr>
                      <w:rFonts w:hint="default" w:ascii="Times New Roman" w:hAnsi="Times New Roman" w:eastAsia="宋体" w:cs="Times New Roman"/>
                      <w:color w:val="auto"/>
                      <w:highlight w:val="none"/>
                      <w:lang w:val="en-US" w:eastAsia="zh-CN"/>
                    </w:rPr>
                  </w:pPr>
                </w:p>
              </w:tc>
              <w:tc>
                <w:tcPr>
                  <w:tcW w:w="23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jc w:val="center"/>
                    <w:textAlignment w:val="auto"/>
                    <w:outlineLvl w:val="9"/>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昼间</w:t>
                  </w:r>
                </w:p>
              </w:tc>
              <w:tc>
                <w:tcPr>
                  <w:tcW w:w="23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jc w:val="center"/>
                    <w:textAlignment w:val="auto"/>
                    <w:outlineLvl w:val="9"/>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7" w:hRule="atLeast"/>
              </w:trPr>
              <w:tc>
                <w:tcPr>
                  <w:tcW w:w="37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jc w:val="center"/>
                    <w:textAlignment w:val="auto"/>
                    <w:outlineLvl w:val="9"/>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3类</w:t>
                  </w:r>
                </w:p>
              </w:tc>
              <w:tc>
                <w:tcPr>
                  <w:tcW w:w="23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jc w:val="center"/>
                    <w:textAlignment w:val="auto"/>
                    <w:outlineLvl w:val="9"/>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65</w:t>
                  </w:r>
                </w:p>
              </w:tc>
              <w:tc>
                <w:tcPr>
                  <w:tcW w:w="23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jc w:val="center"/>
                    <w:textAlignment w:val="auto"/>
                    <w:outlineLvl w:val="9"/>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55</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82"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3.3监测结果及分析</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color w:val="auto"/>
                <w:sz w:val="24"/>
                <w:szCs w:val="24"/>
                <w:highlight w:val="none"/>
                <w:lang w:eastAsia="zh-CN"/>
              </w:rPr>
              <w:t>本次验收监测，厂界噪声监测结果见表</w:t>
            </w:r>
            <w:r>
              <w:rPr>
                <w:rFonts w:hint="default" w:ascii="Times New Roman" w:hAnsi="Times New Roman" w:eastAsia="宋体" w:cs="Times New Roman"/>
                <w:color w:val="auto"/>
                <w:sz w:val="24"/>
                <w:szCs w:val="24"/>
                <w:highlight w:val="none"/>
                <w:lang w:val="en-US" w:eastAsia="zh-CN"/>
              </w:rPr>
              <w:t>3.3-1。</w:t>
            </w:r>
          </w:p>
          <w:p>
            <w:pPr>
              <w:keepNext w:val="0"/>
              <w:keepLines w:val="0"/>
              <w:pageBreakBefore w:val="0"/>
              <w:widowControl w:val="0"/>
              <w:kinsoku/>
              <w:wordWrap/>
              <w:overflowPunct/>
              <w:topLinePunct w:val="0"/>
              <w:autoSpaceDE/>
              <w:autoSpaceDN/>
              <w:bidi w:val="0"/>
              <w:adjustRightInd/>
              <w:snapToGrid/>
              <w:spacing w:before="157" w:beforeLines="5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表3.3-1厂界噪声监测结果</w:t>
            </w:r>
          </w:p>
          <w:tbl>
            <w:tblPr>
              <w:tblStyle w:val="24"/>
              <w:tblW w:w="834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3"/>
              <w:gridCol w:w="2002"/>
              <w:gridCol w:w="1134"/>
              <w:gridCol w:w="1391"/>
              <w:gridCol w:w="1391"/>
              <w:gridCol w:w="1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03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编号</w:t>
                  </w:r>
                </w:p>
              </w:tc>
              <w:tc>
                <w:tcPr>
                  <w:tcW w:w="200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监测点位</w:t>
                  </w:r>
                </w:p>
              </w:tc>
              <w:tc>
                <w:tcPr>
                  <w:tcW w:w="5309"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Leq</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0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rPr>
                  </w:pPr>
                </w:p>
              </w:tc>
              <w:tc>
                <w:tcPr>
                  <w:tcW w:w="200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rPr>
                  </w:pPr>
                </w:p>
              </w:tc>
              <w:tc>
                <w:tcPr>
                  <w:tcW w:w="25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年</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rPr>
                    <w:t>日</w:t>
                  </w:r>
                </w:p>
              </w:tc>
              <w:tc>
                <w:tcPr>
                  <w:tcW w:w="278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年</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26</w:t>
                  </w:r>
                  <w:r>
                    <w:rPr>
                      <w:rFonts w:hint="default" w:ascii="Times New Roman" w:hAnsi="Times New Roman" w:eastAsia="宋体" w:cs="Times New Roman"/>
                      <w:color w:val="auto"/>
                      <w:sz w:val="21"/>
                      <w:szCs w:val="21"/>
                      <w:highlight w:val="none"/>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rPr>
                  </w:pPr>
                </w:p>
              </w:tc>
              <w:tc>
                <w:tcPr>
                  <w:tcW w:w="200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rPr>
                  </w:pPr>
                </w:p>
              </w:tc>
              <w:tc>
                <w:tcPr>
                  <w:tcW w:w="11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13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p>
              </w:tc>
              <w:tc>
                <w:tcPr>
                  <w:tcW w:w="13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13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w:t>
                  </w:r>
                </w:p>
              </w:tc>
              <w:tc>
                <w:tcPr>
                  <w:tcW w:w="20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项目区东侧外1m</w:t>
                  </w:r>
                </w:p>
              </w:tc>
              <w:tc>
                <w:tcPr>
                  <w:tcW w:w="1134" w:type="dxa"/>
                  <w:tcBorders>
                    <w:tl2br w:val="nil"/>
                    <w:tr2bl w:val="nil"/>
                  </w:tcBorders>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47.4</w:t>
                  </w:r>
                </w:p>
              </w:tc>
              <w:tc>
                <w:tcPr>
                  <w:tcW w:w="1391" w:type="dxa"/>
                  <w:tcBorders>
                    <w:tl2br w:val="nil"/>
                    <w:tr2bl w:val="nil"/>
                  </w:tcBorders>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41.1</w:t>
                  </w:r>
                </w:p>
              </w:tc>
              <w:tc>
                <w:tcPr>
                  <w:tcW w:w="1391" w:type="dxa"/>
                  <w:tcBorders>
                    <w:tl2br w:val="nil"/>
                    <w:tr2bl w:val="nil"/>
                  </w:tcBorders>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47.2</w:t>
                  </w:r>
                </w:p>
              </w:tc>
              <w:tc>
                <w:tcPr>
                  <w:tcW w:w="1393" w:type="dxa"/>
                  <w:tcBorders>
                    <w:tl2br w:val="nil"/>
                    <w:tr2bl w:val="nil"/>
                  </w:tcBorders>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10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20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项目区南侧外1m</w:t>
                  </w:r>
                </w:p>
              </w:tc>
              <w:tc>
                <w:tcPr>
                  <w:tcW w:w="1134"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52.0</w:t>
                  </w:r>
                </w:p>
              </w:tc>
              <w:tc>
                <w:tcPr>
                  <w:tcW w:w="1391"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47.8</w:t>
                  </w:r>
                </w:p>
              </w:tc>
              <w:tc>
                <w:tcPr>
                  <w:tcW w:w="1391"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48.5</w:t>
                  </w:r>
                </w:p>
              </w:tc>
              <w:tc>
                <w:tcPr>
                  <w:tcW w:w="1393"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20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项目区西侧外1m</w:t>
                  </w:r>
                </w:p>
              </w:tc>
              <w:tc>
                <w:tcPr>
                  <w:tcW w:w="1134"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44.1</w:t>
                  </w:r>
                </w:p>
              </w:tc>
              <w:tc>
                <w:tcPr>
                  <w:tcW w:w="1391"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39.9</w:t>
                  </w:r>
                </w:p>
              </w:tc>
              <w:tc>
                <w:tcPr>
                  <w:tcW w:w="1391"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46.1</w:t>
                  </w:r>
                </w:p>
              </w:tc>
              <w:tc>
                <w:tcPr>
                  <w:tcW w:w="1393"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2002"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项目区北侧外1m</w:t>
                  </w:r>
                </w:p>
              </w:tc>
              <w:tc>
                <w:tcPr>
                  <w:tcW w:w="1134"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43.7</w:t>
                  </w:r>
                </w:p>
              </w:tc>
              <w:tc>
                <w:tcPr>
                  <w:tcW w:w="1391"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41.7</w:t>
                  </w:r>
                </w:p>
              </w:tc>
              <w:tc>
                <w:tcPr>
                  <w:tcW w:w="1391"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45.7</w:t>
                  </w:r>
                </w:p>
              </w:tc>
              <w:tc>
                <w:tcPr>
                  <w:tcW w:w="1393"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303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《工业企业厂界环境噪声排放标准》</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GB12348-2008）</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类标准</w:t>
                  </w:r>
                </w:p>
              </w:tc>
              <w:tc>
                <w:tcPr>
                  <w:tcW w:w="11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65</w:t>
                  </w:r>
                </w:p>
              </w:tc>
              <w:tc>
                <w:tcPr>
                  <w:tcW w:w="13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55</w:t>
                  </w:r>
                </w:p>
              </w:tc>
              <w:tc>
                <w:tcPr>
                  <w:tcW w:w="13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65</w:t>
                  </w:r>
                </w:p>
              </w:tc>
              <w:tc>
                <w:tcPr>
                  <w:tcW w:w="13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3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是否达标</w:t>
                  </w:r>
                </w:p>
              </w:tc>
              <w:tc>
                <w:tcPr>
                  <w:tcW w:w="11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c>
                <w:tcPr>
                  <w:tcW w:w="13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c>
                <w:tcPr>
                  <w:tcW w:w="13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c>
                <w:tcPr>
                  <w:tcW w:w="13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80" w:firstLineChars="200"/>
              <w:textAlignment w:val="auto"/>
              <w:outlineLvl w:val="9"/>
              <w:rPr>
                <w:rFonts w:hint="default" w:ascii="Times New Roman" w:hAnsi="Times New Roman" w:eastAsia="宋体" w:cs="Times New Roman"/>
                <w:w w:val="99"/>
                <w:sz w:val="21"/>
                <w:szCs w:val="21"/>
                <w:highlight w:val="none"/>
                <w:lang w:val="en-US" w:eastAsia="zh-CN"/>
              </w:rPr>
            </w:pPr>
            <w:r>
              <w:rPr>
                <w:rFonts w:hint="default" w:ascii="Times New Roman" w:hAnsi="Times New Roman" w:eastAsia="宋体" w:cs="Times New Roman"/>
                <w:sz w:val="24"/>
                <w:highlight w:val="none"/>
              </w:rPr>
              <w:t>验收监测期间</w:t>
            </w:r>
            <w:r>
              <w:rPr>
                <w:rFonts w:hint="default" w:ascii="Times New Roman" w:hAnsi="Times New Roman" w:eastAsia="宋体" w:cs="Times New Roman"/>
                <w:color w:val="000000" w:themeColor="text1"/>
                <w:sz w:val="24"/>
                <w:highlight w:val="none"/>
                <w14:textFill>
                  <w14:solidFill>
                    <w14:schemeClr w14:val="tx1"/>
                  </w14:solidFill>
                </w14:textFill>
              </w:rPr>
              <w:t>，该项目</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东</w:t>
            </w:r>
            <w:r>
              <w:rPr>
                <w:rFonts w:hint="default" w:ascii="Times New Roman" w:hAnsi="Times New Roman" w:eastAsia="宋体" w:cs="Times New Roman"/>
                <w:color w:val="000000" w:themeColor="text1"/>
                <w:sz w:val="24"/>
                <w:highlight w:val="none"/>
                <w14:textFill>
                  <w14:solidFill>
                    <w14:schemeClr w14:val="tx1"/>
                  </w14:solidFill>
                </w14:textFill>
              </w:rPr>
              <w:t>侧、</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南</w:t>
            </w:r>
            <w:r>
              <w:rPr>
                <w:rFonts w:hint="default" w:ascii="Times New Roman" w:hAnsi="Times New Roman" w:eastAsia="宋体" w:cs="Times New Roman"/>
                <w:color w:val="000000" w:themeColor="text1"/>
                <w:sz w:val="24"/>
                <w:highlight w:val="none"/>
                <w14:textFill>
                  <w14:solidFill>
                    <w14:schemeClr w14:val="tx1"/>
                  </w14:solidFill>
                </w14:textFill>
              </w:rPr>
              <w:t>侧、</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西南</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北</w:t>
            </w:r>
            <w:r>
              <w:rPr>
                <w:rFonts w:hint="default" w:ascii="Times New Roman" w:hAnsi="Times New Roman" w:eastAsia="宋体" w:cs="Times New Roman"/>
                <w:color w:val="000000" w:themeColor="text1"/>
                <w:sz w:val="24"/>
                <w:highlight w:val="none"/>
                <w14:textFill>
                  <w14:solidFill>
                    <w14:schemeClr w14:val="tx1"/>
                  </w14:solidFill>
                </w14:textFill>
              </w:rPr>
              <w:t>侧噪声监测点昼、夜间最大噪声测定值范围分别为</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44.1</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52.0</w:t>
            </w:r>
            <w:r>
              <w:rPr>
                <w:rFonts w:hint="default" w:ascii="Times New Roman" w:hAnsi="Times New Roman" w:eastAsia="宋体" w:cs="Times New Roman"/>
                <w:color w:val="000000" w:themeColor="text1"/>
                <w:sz w:val="24"/>
                <w:highlight w:val="none"/>
                <w14:textFill>
                  <w14:solidFill>
                    <w14:schemeClr w14:val="tx1"/>
                  </w14:solidFill>
                </w14:textFill>
              </w:rPr>
              <w:t>dB</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A</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和</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39.9</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48.5</w:t>
            </w:r>
            <w:r>
              <w:rPr>
                <w:rFonts w:hint="default" w:ascii="Times New Roman" w:hAnsi="Times New Roman" w:eastAsia="宋体" w:cs="Times New Roman"/>
                <w:color w:val="000000" w:themeColor="text1"/>
                <w:sz w:val="24"/>
                <w:highlight w:val="none"/>
                <w14:textFill>
                  <w14:solidFill>
                    <w14:schemeClr w14:val="tx1"/>
                  </w14:solidFill>
                </w14:textFill>
              </w:rPr>
              <w:t>dB</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A</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夜间</w:t>
            </w:r>
            <w:r>
              <w:rPr>
                <w:rFonts w:hint="default" w:ascii="Times New Roman" w:hAnsi="Times New Roman" w:eastAsia="宋体" w:cs="Times New Roman"/>
                <w:color w:val="000000" w:themeColor="text1"/>
                <w:sz w:val="24"/>
                <w:highlight w:val="none"/>
                <w14:textFill>
                  <w14:solidFill>
                    <w14:schemeClr w14:val="tx1"/>
                  </w14:solidFill>
                </w14:textFill>
              </w:rPr>
              <w:t>符合《工业企业厂环境噪声排放标准》</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GB12348-2008）</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类标准限值要求</w:t>
            </w:r>
            <w:r>
              <w:rPr>
                <w:rFonts w:hint="default" w:ascii="Times New Roman" w:hAnsi="Times New Roman" w:eastAsia="宋体" w:cs="Times New Roman"/>
                <w:sz w:val="24"/>
                <w:highlight w:val="none"/>
              </w:rPr>
              <w:t>。</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left"/>
        <w:textAlignment w:val="auto"/>
        <w:outlineLvl w:val="9"/>
        <w:rPr>
          <w:rFonts w:hint="default" w:ascii="Times New Roman" w:hAnsi="Times New Roman" w:eastAsia="宋体" w:cs="Times New Roman"/>
          <w:b/>
          <w:bCs/>
          <w:snapToGrid/>
          <w:color w:val="auto"/>
          <w:kern w:val="0"/>
          <w:sz w:val="24"/>
          <w:szCs w:val="22"/>
          <w:highlight w:val="none"/>
          <w:lang w:val="en-US" w:eastAsia="zh-CN" w:bidi="ar"/>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spacing w:before="0" w:after="0" w:line="240" w:lineRule="auto"/>
        <w:rPr>
          <w:rFonts w:hint="default" w:ascii="Times New Roman" w:hAnsi="Times New Roman" w:eastAsia="宋体" w:cs="Times New Roman"/>
          <w:highlight w:val="none"/>
        </w:rPr>
      </w:pPr>
      <w:bookmarkStart w:id="18" w:name="_Toc10467"/>
      <w:bookmarkStart w:id="19" w:name="_Toc32552"/>
      <w:bookmarkStart w:id="20" w:name="_Toc12589"/>
      <w:r>
        <w:rPr>
          <w:rFonts w:hint="default" w:ascii="Times New Roman" w:hAnsi="Times New Roman" w:eastAsia="宋体" w:cs="Times New Roman"/>
          <w:sz w:val="24"/>
          <w:highlight w:val="none"/>
        </w:rPr>
        <w:t>表</w:t>
      </w:r>
      <w:r>
        <w:rPr>
          <w:rFonts w:hint="default" w:ascii="Times New Roman" w:hAnsi="Times New Roman" w:eastAsia="宋体" w:cs="Times New Roman"/>
          <w:sz w:val="24"/>
          <w:highlight w:val="none"/>
          <w:lang w:eastAsia="zh-CN"/>
        </w:rPr>
        <w:t>七</w:t>
      </w:r>
      <w:r>
        <w:rPr>
          <w:rFonts w:hint="default" w:ascii="Times New Roman" w:hAnsi="Times New Roman" w:eastAsia="宋体" w:cs="Times New Roman"/>
          <w:sz w:val="24"/>
          <w:highlight w:val="none"/>
        </w:rPr>
        <w:t>环保检查结果</w:t>
      </w:r>
      <w:bookmarkEnd w:id="18"/>
      <w:bookmarkEnd w:id="19"/>
    </w:p>
    <w:tbl>
      <w:tblPr>
        <w:tblStyle w:val="23"/>
        <w:tblW w:w="8560"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8570"/>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3041" w:hRule="atLeast"/>
        </w:trPr>
        <w:tc>
          <w:tcPr>
            <w:tcW w:w="8560" w:type="dxa"/>
            <w:vAlign w:val="top"/>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82"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1、环境保护“三同时”制度执行情况</w:t>
            </w:r>
          </w:p>
          <w:p>
            <w:pPr>
              <w:spacing w:line="360" w:lineRule="auto"/>
              <w:ind w:firstLine="480" w:firstLineChars="200"/>
              <w:contextualSpacing/>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w:t>
            </w:r>
            <w:r>
              <w:rPr>
                <w:rFonts w:hint="eastAsia"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月，委托</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新疆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中测环保科技有限公司</w:t>
            </w:r>
            <w:r>
              <w:rPr>
                <w:rFonts w:hint="default" w:ascii="Times New Roman" w:hAnsi="Times New Roman" w:eastAsia="宋体" w:cs="Times New Roman"/>
                <w:color w:val="auto"/>
                <w:sz w:val="24"/>
                <w:szCs w:val="24"/>
                <w:highlight w:val="none"/>
                <w:lang w:val="en-US" w:eastAsia="zh-CN"/>
              </w:rPr>
              <w:t>编制完成了《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绿色装配式建筑产业园建设项目（一期）</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环境影响报告表</w:t>
            </w:r>
            <w:r>
              <w:rPr>
                <w:rFonts w:hint="default" w:ascii="Times New Roman" w:hAnsi="Times New Roman" w:eastAsia="宋体" w:cs="Times New Roman"/>
                <w:color w:val="auto"/>
                <w:sz w:val="24"/>
                <w:szCs w:val="24"/>
                <w:highlight w:val="none"/>
                <w:lang w:val="en-US" w:eastAsia="zh-CN"/>
              </w:rPr>
              <w:t>》；</w:t>
            </w:r>
          </w:p>
          <w:p>
            <w:pPr>
              <w:spacing w:line="360" w:lineRule="auto"/>
              <w:ind w:firstLine="480" w:firstLineChars="200"/>
              <w:contextualSpacing/>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本项目于20</w:t>
            </w:r>
            <w:r>
              <w:rPr>
                <w:rFonts w:hint="eastAsia"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eastAsia="宋体"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lang w:val="en-US" w:eastAsia="zh-CN"/>
              </w:rPr>
              <w:t>日取得《关于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绿色装配式建筑产业园建设项目（一期）</w:t>
            </w:r>
            <w:r>
              <w:rPr>
                <w:rFonts w:hint="default" w:ascii="Times New Roman" w:hAnsi="Times New Roman" w:eastAsia="宋体" w:cs="Times New Roman"/>
                <w:color w:val="auto"/>
                <w:sz w:val="24"/>
                <w:szCs w:val="24"/>
                <w:highlight w:val="none"/>
                <w:lang w:val="en-US" w:eastAsia="zh-CN"/>
              </w:rPr>
              <w:t>环境影响报告表的批复》（</w:t>
            </w:r>
            <w:r>
              <w:rPr>
                <w:rFonts w:hint="eastAsia" w:ascii="Times New Roman" w:hAnsi="Times New Roman" w:eastAsia="宋体" w:cs="Times New Roman"/>
                <w:color w:val="auto"/>
                <w:sz w:val="24"/>
                <w:szCs w:val="24"/>
                <w:highlight w:val="none"/>
                <w:lang w:val="en-US" w:eastAsia="zh-CN"/>
              </w:rPr>
              <w:t>库尔勒经济技术开发区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环境保护局，</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库开环评价函</w:t>
            </w:r>
            <w:r>
              <w:rPr>
                <w:rFonts w:hint="default" w:ascii="Times New Roman" w:hAnsi="Times New Roman" w:eastAsia="宋体" w:cs="Times New Roman"/>
                <w:sz w:val="24"/>
                <w:szCs w:val="24"/>
                <w:lang w:val="en-US" w:eastAsia="zh-CN"/>
              </w:rPr>
              <w:t>〔20</w:t>
            </w:r>
            <w:r>
              <w:rPr>
                <w:rFonts w:hint="eastAsia" w:ascii="Times New Roman" w:hAnsi="Times New Roman" w:eastAsia="宋体" w:cs="Times New Roman"/>
                <w:sz w:val="24"/>
                <w:szCs w:val="24"/>
                <w:lang w:val="en-US" w:eastAsia="zh-CN"/>
              </w:rPr>
              <w:t>21</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lang w:val="en-US" w:eastAsia="zh-CN"/>
              </w:rPr>
              <w:t>号</w:t>
            </w:r>
            <w:r>
              <w:rPr>
                <w:rFonts w:hint="default" w:ascii="Times New Roman" w:hAnsi="Times New Roman" w:eastAsia="宋体" w:cs="Times New Roman"/>
                <w:color w:val="auto"/>
                <w:sz w:val="24"/>
                <w:szCs w:val="24"/>
                <w:highlight w:val="none"/>
                <w:lang w:val="en-US" w:eastAsia="zh-CN"/>
              </w:rPr>
              <w:t>）；</w:t>
            </w:r>
          </w:p>
          <w:p>
            <w:pPr>
              <w:spacing w:line="360" w:lineRule="auto"/>
              <w:ind w:firstLine="480" w:firstLineChars="200"/>
              <w:contextualSpacing/>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2016年</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月开工建设，2021年11月建设完成，2022年1月项目调试进行试运行。</w:t>
            </w:r>
          </w:p>
          <w:p>
            <w:pPr>
              <w:spacing w:line="360" w:lineRule="auto"/>
              <w:ind w:firstLine="480" w:firstLineChars="200"/>
              <w:contextualSpacing/>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auto"/>
                <w:sz w:val="24"/>
                <w:szCs w:val="24"/>
                <w:highlight w:val="none"/>
                <w:lang w:val="en-US" w:eastAsia="zh-CN"/>
              </w:rPr>
              <w:t>2022年</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eastAsia="宋体" w:cs="Times New Roman"/>
                <w:color w:val="auto"/>
                <w:sz w:val="24"/>
                <w:szCs w:val="24"/>
                <w:highlight w:val="none"/>
                <w:lang w:val="en-US" w:eastAsia="zh-CN"/>
              </w:rPr>
              <w:t>建设单位组织对</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绿色装配式建筑产业园建设项目（一期）项目进行自主验收，其中搅拌楼在验收期间的设备与环评及批复中设备型号一致，但实际生产能力超过批复所批生产能力，涉嫌存在“未批先建”的违法行为。现为了满足市场需求，投资10000万元建设“绿色装配式建筑产业园扩建项目”。</w:t>
            </w:r>
          </w:p>
          <w:p>
            <w:pPr>
              <w:spacing w:line="360" w:lineRule="auto"/>
              <w:ind w:firstLine="480" w:firstLineChars="200"/>
              <w:contextualSpacing/>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2023年7月，新疆中测环保科技有限公司</w:t>
            </w:r>
            <w:r>
              <w:rPr>
                <w:rFonts w:hint="default" w:ascii="Times New Roman" w:hAnsi="Times New Roman" w:eastAsia="宋体" w:cs="Times New Roman"/>
                <w:color w:val="auto"/>
                <w:sz w:val="24"/>
                <w:szCs w:val="24"/>
                <w:highlight w:val="none"/>
                <w:lang w:val="en-US" w:eastAsia="zh-CN"/>
              </w:rPr>
              <w:t>对该项目现场进行了核查，根据建设项目竣工环境保护验收指南、规范等相关规定，制定了项目竣工验收监测方案，依据监</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测方案202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月，</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新疆中测测试有限责任公司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对该项目进</w:t>
            </w:r>
            <w:r>
              <w:rPr>
                <w:rFonts w:hint="default" w:ascii="Times New Roman" w:hAnsi="Times New Roman" w:eastAsia="宋体" w:cs="Times New Roman"/>
                <w:color w:val="auto"/>
                <w:sz w:val="24"/>
                <w:szCs w:val="24"/>
                <w:highlight w:val="none"/>
                <w:lang w:val="en-US" w:eastAsia="zh-CN"/>
              </w:rPr>
              <w:t>行了现场验收监测，在此基础上编制完成了</w:t>
            </w:r>
            <w:r>
              <w:rPr>
                <w:rFonts w:hint="eastAsia" w:ascii="Times New Roman" w:hAnsi="Times New Roman" w:eastAsia="宋体" w:cs="Times New Roman"/>
                <w:color w:val="auto"/>
                <w:sz w:val="24"/>
                <w:szCs w:val="24"/>
                <w:highlight w:val="none"/>
                <w:lang w:val="en-US" w:eastAsia="zh-CN"/>
              </w:rPr>
              <w:t>绿色装配式建筑产业园扩建项目</w:t>
            </w:r>
            <w:r>
              <w:rPr>
                <w:rFonts w:hint="default" w:ascii="Times New Roman" w:hAnsi="Times New Roman" w:eastAsia="宋体" w:cs="Times New Roman"/>
                <w:color w:val="auto"/>
                <w:sz w:val="24"/>
                <w:szCs w:val="24"/>
                <w:highlight w:val="none"/>
                <w:lang w:val="en-US" w:eastAsia="zh-CN"/>
              </w:rPr>
              <w:t>验收监测报告表。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建设方基本执行了环境影响评价制度，按照环评及批复要求落实了各项污染防治设施。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该项目的污染物治理措施落实情况见表7-1。</w:t>
            </w:r>
          </w:p>
          <w:p>
            <w:pPr>
              <w:bidi w:val="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表7-1建设项目环境保护“三同时”措施一览表</w:t>
            </w:r>
          </w:p>
          <w:tbl>
            <w:tblPr>
              <w:tblStyle w:val="23"/>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46"/>
              <w:gridCol w:w="1594"/>
              <w:gridCol w:w="1403"/>
              <w:gridCol w:w="2354"/>
              <w:gridCol w:w="23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8" w:hRule="atLeast"/>
                <w:jc w:val="center"/>
              </w:trPr>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污染物</w:t>
                  </w:r>
                </w:p>
              </w:tc>
              <w:tc>
                <w:tcPr>
                  <w:tcW w:w="954"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治理措施</w:t>
                  </w:r>
                </w:p>
              </w:tc>
              <w:tc>
                <w:tcPr>
                  <w:tcW w:w="84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环保设备名称</w:t>
                  </w:r>
                </w:p>
              </w:tc>
              <w:tc>
                <w:tcPr>
                  <w:tcW w:w="140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符合标准</w:t>
                  </w:r>
                </w:p>
              </w:tc>
              <w:tc>
                <w:tcPr>
                  <w:tcW w:w="140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落实情况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6" w:hRule="atLeast"/>
                <w:jc w:val="center"/>
              </w:trPr>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粉尘</w:t>
                  </w:r>
                </w:p>
              </w:tc>
              <w:tc>
                <w:tcPr>
                  <w:tcW w:w="954"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工艺除尘职工防护</w:t>
                  </w:r>
                </w:p>
              </w:tc>
              <w:tc>
                <w:tcPr>
                  <w:tcW w:w="84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除尘器、防尘面罩</w:t>
                  </w:r>
                </w:p>
              </w:tc>
              <w:tc>
                <w:tcPr>
                  <w:tcW w:w="140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《大气污染物综合排放标准》（GB16297-1996）中新污染源颗粒物最高允许排放浓度（120mg/m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基本落实，验收期间经现场勘查项目设置</w:t>
                  </w:r>
                  <w:r>
                    <w:rPr>
                      <w:rFonts w:hint="eastAsia" w:ascii="Times New Roman" w:hAnsi="Times New Roman" w:eastAsia="宋体" w:cs="Times New Roman"/>
                      <w:color w:val="auto"/>
                      <w:lang w:val="en-US" w:eastAsia="zh-CN"/>
                    </w:rPr>
                    <w:t>布袋除尘器进行除尘</w:t>
                  </w:r>
                  <w:r>
                    <w:rPr>
                      <w:rFonts w:hint="default" w:ascii="Times New Roman" w:hAnsi="Times New Roman" w:eastAsia="宋体" w:cs="Times New Roman"/>
                      <w:color w:val="auto"/>
                      <w:lang w:val="en-US" w:eastAsia="zh-CN"/>
                    </w:rPr>
                    <w:t>，设置防尘面罩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2" w:hRule="atLeast"/>
                <w:jc w:val="center"/>
              </w:trPr>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default" w:ascii="Times New Roman" w:hAnsi="Times New Roman" w:eastAsia="宋体" w:cs="Times New Roman"/>
                    </w:rPr>
                  </w:pPr>
                  <w:r>
                    <w:rPr>
                      <w:rFonts w:hint="default" w:ascii="Times New Roman" w:hAnsi="Times New Roman" w:eastAsia="宋体" w:cs="Times New Roman"/>
                      <w:lang w:val="en-US" w:eastAsia="zh-CN"/>
                    </w:rPr>
                    <w:t>生活污水</w:t>
                  </w:r>
                </w:p>
              </w:tc>
              <w:tc>
                <w:tcPr>
                  <w:tcW w:w="954"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default" w:ascii="Times New Roman" w:hAnsi="Times New Roman" w:eastAsia="宋体" w:cs="Times New Roman"/>
                    </w:rPr>
                  </w:pPr>
                  <w:r>
                    <w:rPr>
                      <w:rFonts w:hint="default" w:ascii="Times New Roman" w:hAnsi="Times New Roman" w:eastAsia="宋体" w:cs="Times New Roman"/>
                      <w:lang w:val="en-US" w:eastAsia="zh-CN"/>
                    </w:rPr>
                    <w:t>经</w:t>
                  </w:r>
                  <w:r>
                    <w:rPr>
                      <w:rFonts w:hint="eastAsia" w:ascii="Times New Roman" w:hAnsi="Times New Roman" w:eastAsia="宋体" w:cs="Times New Roman"/>
                      <w:lang w:val="en-US" w:eastAsia="zh-CN"/>
                    </w:rPr>
                    <w:t>化粪池</w:t>
                  </w:r>
                  <w:r>
                    <w:rPr>
                      <w:rFonts w:hint="default" w:ascii="Times New Roman" w:hAnsi="Times New Roman" w:eastAsia="宋体" w:cs="Times New Roman"/>
                      <w:lang w:val="en-US" w:eastAsia="zh-CN"/>
                    </w:rPr>
                    <w:t>收集处理后排入下水管网</w:t>
                  </w:r>
                </w:p>
              </w:tc>
              <w:tc>
                <w:tcPr>
                  <w:tcW w:w="84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default" w:ascii="Times New Roman" w:hAnsi="Times New Roman" w:eastAsia="宋体" w:cs="Times New Roman"/>
                    </w:rPr>
                  </w:pPr>
                  <w:r>
                    <w:rPr>
                      <w:rFonts w:hint="default" w:ascii="Times New Roman" w:hAnsi="Times New Roman" w:eastAsia="宋体" w:cs="Times New Roman"/>
                      <w:lang w:val="en-US" w:eastAsia="zh-CN"/>
                    </w:rPr>
                    <w:t>化粪池</w:t>
                  </w:r>
                </w:p>
              </w:tc>
              <w:tc>
                <w:tcPr>
                  <w:tcW w:w="140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default" w:ascii="Times New Roman" w:hAnsi="Times New Roman" w:eastAsia="宋体" w:cs="Times New Roman"/>
                    </w:rPr>
                  </w:pPr>
                  <w:r>
                    <w:rPr>
                      <w:rFonts w:hint="default" w:ascii="Times New Roman" w:hAnsi="Times New Roman" w:eastAsia="宋体" w:cs="Times New Roman"/>
                      <w:lang w:val="en-US" w:eastAsia="zh-CN"/>
                    </w:rPr>
                    <w:t>《污水综合排放标准》（GB8978-1996）中三级标准</w:t>
                  </w:r>
                </w:p>
              </w:tc>
              <w:tc>
                <w:tcPr>
                  <w:tcW w:w="140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已落实，验收期间监测满足《污水综合排放标准》（GB8978-1996）中三级标准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2" w:hRule="atLeast"/>
                <w:jc w:val="center"/>
              </w:trPr>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default" w:ascii="Times New Roman" w:hAnsi="Times New Roman" w:eastAsia="宋体" w:cs="Times New Roman"/>
                    </w:rPr>
                  </w:pPr>
                  <w:r>
                    <w:rPr>
                      <w:rFonts w:hint="default" w:ascii="Times New Roman" w:hAnsi="Times New Roman" w:eastAsia="宋体" w:cs="Times New Roman"/>
                      <w:lang w:val="en-US" w:eastAsia="zh-CN"/>
                    </w:rPr>
                    <w:t>噪声</w:t>
                  </w:r>
                </w:p>
              </w:tc>
              <w:tc>
                <w:tcPr>
                  <w:tcW w:w="954"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default" w:ascii="Times New Roman" w:hAnsi="Times New Roman" w:eastAsia="宋体" w:cs="Times New Roman"/>
                    </w:rPr>
                  </w:pPr>
                  <w:r>
                    <w:rPr>
                      <w:rFonts w:hint="default" w:ascii="Times New Roman" w:hAnsi="Times New Roman" w:eastAsia="宋体" w:cs="Times New Roman"/>
                      <w:lang w:val="en-US" w:eastAsia="zh-CN"/>
                    </w:rPr>
                    <w:t>选用低</w:t>
                  </w:r>
                  <w:r>
                    <w:rPr>
                      <w:rFonts w:hint="eastAsia" w:ascii="Times New Roman" w:hAnsi="Times New Roman" w:eastAsia="宋体" w:cs="Times New Roman"/>
                      <w:lang w:val="en-US" w:eastAsia="zh-CN"/>
                    </w:rPr>
                    <w:t>噪声</w:t>
                  </w:r>
                  <w:r>
                    <w:rPr>
                      <w:rFonts w:hint="default" w:ascii="Times New Roman" w:hAnsi="Times New Roman" w:eastAsia="宋体" w:cs="Times New Roman"/>
                      <w:lang w:val="en-US" w:eastAsia="zh-CN"/>
                    </w:rPr>
                    <w:t>设备，采取隔音、减振等措施；职工防护</w:t>
                  </w:r>
                </w:p>
              </w:tc>
              <w:tc>
                <w:tcPr>
                  <w:tcW w:w="84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default" w:ascii="Times New Roman" w:hAnsi="Times New Roman" w:eastAsia="宋体" w:cs="Times New Roman"/>
                    </w:rPr>
                  </w:pPr>
                  <w:r>
                    <w:rPr>
                      <w:rFonts w:hint="default" w:ascii="Times New Roman" w:hAnsi="Times New Roman" w:eastAsia="宋体" w:cs="Times New Roman"/>
                      <w:lang w:val="en-US" w:eastAsia="zh-CN"/>
                    </w:rPr>
                    <w:t>减振垫、隔声材料、护耳器等</w:t>
                  </w:r>
                </w:p>
              </w:tc>
              <w:tc>
                <w:tcPr>
                  <w:tcW w:w="140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default" w:ascii="Times New Roman" w:hAnsi="Times New Roman" w:eastAsia="宋体" w:cs="Times New Roman"/>
                    </w:rPr>
                  </w:pPr>
                  <w:r>
                    <w:rPr>
                      <w:rFonts w:hint="default" w:ascii="Times New Roman" w:hAnsi="Times New Roman" w:eastAsia="宋体" w:cs="Times New Roman"/>
                      <w:lang w:val="en-US" w:eastAsia="zh-CN"/>
                    </w:rPr>
                    <w:t>《工业企业厂界环境噪声排放标准》（GB12348-2008）中3类标准限值</w:t>
                  </w:r>
                </w:p>
              </w:tc>
              <w:tc>
                <w:tcPr>
                  <w:tcW w:w="140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已落实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default" w:ascii="Times New Roman" w:hAnsi="Times New Roman" w:eastAsia="宋体" w:cs="Times New Roman"/>
                    </w:rPr>
                  </w:pPr>
                  <w:r>
                    <w:rPr>
                      <w:rFonts w:hint="default" w:ascii="Times New Roman" w:hAnsi="Times New Roman" w:eastAsia="宋体" w:cs="Times New Roman"/>
                      <w:lang w:val="en-US" w:eastAsia="zh-CN"/>
                    </w:rPr>
                    <w:t>固废</w:t>
                  </w:r>
                </w:p>
              </w:tc>
              <w:tc>
                <w:tcPr>
                  <w:tcW w:w="954"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default" w:ascii="Times New Roman" w:hAnsi="Times New Roman" w:eastAsia="宋体" w:cs="Times New Roman"/>
                    </w:rPr>
                  </w:pPr>
                  <w:r>
                    <w:rPr>
                      <w:rFonts w:hint="default" w:ascii="Times New Roman" w:hAnsi="Times New Roman" w:cs="Times New Roman"/>
                      <w:bCs/>
                      <w:color w:val="auto"/>
                      <w:szCs w:val="21"/>
                    </w:rPr>
                    <w:t>不合格砂石料、</w:t>
                  </w:r>
                  <w:r>
                    <w:rPr>
                      <w:rFonts w:hint="default" w:ascii="Times New Roman" w:hAnsi="Times New Roman" w:cs="Times New Roman"/>
                      <w:bCs/>
                      <w:color w:val="auto"/>
                      <w:szCs w:val="21"/>
                      <w:lang w:val="zh-TW"/>
                    </w:rPr>
                    <w:t>沉淀</w:t>
                  </w:r>
                  <w:r>
                    <w:rPr>
                      <w:rFonts w:hint="default" w:ascii="Times New Roman" w:hAnsi="Times New Roman" w:cs="Times New Roman"/>
                      <w:bCs/>
                      <w:color w:val="auto"/>
                      <w:szCs w:val="21"/>
                    </w:rPr>
                    <w:t>泥沙作为路面铺垫料，或地面平整的填料综合利用；除尘器收集的粉尘回用于生产；废旧滤袋、废树脂交废旧物资回收部门；生活垃圾、化粪池污泥统一收集并由环卫部门定期清运处理；废润滑油</w:t>
                  </w:r>
                  <w:r>
                    <w:rPr>
                      <w:rFonts w:hint="default" w:ascii="Times New Roman" w:hAnsi="Times New Roman" w:cs="Times New Roman"/>
                      <w:bCs/>
                      <w:color w:val="auto"/>
                      <w:szCs w:val="21"/>
                      <w:lang w:val="en-US" w:eastAsia="zh-CN"/>
                    </w:rPr>
                    <w:t>暂</w:t>
                  </w:r>
                  <w:r>
                    <w:rPr>
                      <w:rFonts w:hint="default" w:ascii="Times New Roman" w:hAnsi="Times New Roman" w:cs="Times New Roman"/>
                      <w:bCs/>
                      <w:color w:val="auto"/>
                      <w:szCs w:val="21"/>
                    </w:rPr>
                    <w:t>存于危废暂存间后委托有资质单位处理</w:t>
                  </w:r>
                </w:p>
              </w:tc>
              <w:tc>
                <w:tcPr>
                  <w:tcW w:w="84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default" w:ascii="Times New Roman" w:hAnsi="Times New Roman" w:eastAsia="宋体" w:cs="Times New Roman"/>
                      <w:lang w:val="en-US"/>
                    </w:rPr>
                  </w:pPr>
                  <w:r>
                    <w:rPr>
                      <w:rFonts w:hint="default" w:ascii="Times New Roman" w:hAnsi="Times New Roman" w:eastAsia="宋体" w:cs="Times New Roman"/>
                      <w:lang w:val="en-US" w:eastAsia="zh-CN"/>
                    </w:rPr>
                    <w:t>垃圾箱、</w:t>
                  </w:r>
                  <w:r>
                    <w:rPr>
                      <w:rFonts w:hint="eastAsia" w:ascii="Times New Roman" w:hAnsi="Times New Roman" w:eastAsia="宋体" w:cs="Times New Roman"/>
                      <w:lang w:val="en-US" w:eastAsia="zh-CN"/>
                    </w:rPr>
                    <w:t>危废暂存间</w:t>
                  </w:r>
                </w:p>
              </w:tc>
              <w:tc>
                <w:tcPr>
                  <w:tcW w:w="140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default" w:ascii="Times New Roman" w:hAnsi="Times New Roman" w:eastAsia="宋体" w:cs="Times New Roman"/>
                    </w:rPr>
                  </w:pPr>
                  <w:r>
                    <w:rPr>
                      <w:rFonts w:hint="default" w:ascii="Times New Roman" w:hAnsi="Times New Roman" w:eastAsia="宋体" w:cs="Times New Roman"/>
                      <w:lang w:val="en-US" w:eastAsia="zh-CN"/>
                    </w:rPr>
                    <w:t>《中华人民共和国固体废物污染环境防治法》及《一般工业固体废物贮存、处置场污染控制标准》（GB18599-2001）中有关规定</w:t>
                  </w:r>
                </w:p>
              </w:tc>
              <w:tc>
                <w:tcPr>
                  <w:tcW w:w="140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已落实</w:t>
                  </w:r>
                </w:p>
              </w:tc>
            </w:tr>
          </w:tbl>
          <w:p>
            <w:pPr>
              <w:pStyle w:val="7"/>
              <w:rPr>
                <w:rFonts w:hint="default" w:ascii="Times New Roman" w:hAnsi="Times New Roman" w:eastAsia="宋体" w:cs="Times New Roman"/>
                <w:b/>
                <w:bCs/>
                <w:lang w:val="en-US"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82"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2、环境管理机构、管理制度及排污许可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好绿筑科技集团股份公司</w:t>
            </w:r>
            <w:r>
              <w:rPr>
                <w:rFonts w:hint="default" w:ascii="Times New Roman" w:hAnsi="Times New Roman" w:eastAsia="宋体" w:cs="Times New Roman"/>
                <w:sz w:val="24"/>
                <w:szCs w:val="24"/>
                <w:lang w:val="en-US" w:eastAsia="zh-CN"/>
              </w:rPr>
              <w:t>制定了相应的环境管理制度，定期对设备进行维修和保养，有效</w:t>
            </w:r>
            <w:r>
              <w:rPr>
                <w:rFonts w:hint="eastAsia" w:ascii="Times New Roman" w:hAnsi="Times New Roman" w:eastAsia="宋体" w:cs="Times New Roman"/>
                <w:sz w:val="24"/>
                <w:szCs w:val="24"/>
                <w:lang w:val="en-US" w:eastAsia="zh-CN"/>
              </w:rPr>
              <w:t>地</w:t>
            </w:r>
            <w:r>
              <w:rPr>
                <w:rFonts w:hint="default" w:ascii="Times New Roman" w:hAnsi="Times New Roman" w:eastAsia="宋体" w:cs="Times New Roman"/>
                <w:sz w:val="24"/>
                <w:szCs w:val="24"/>
                <w:lang w:val="en-US" w:eastAsia="zh-CN"/>
              </w:rPr>
              <w:t>保证了项目稳定</w:t>
            </w:r>
            <w:r>
              <w:rPr>
                <w:rFonts w:hint="eastAsia" w:ascii="Times New Roman" w:hAnsi="Times New Roman" w:eastAsia="宋体" w:cs="Times New Roman"/>
                <w:sz w:val="24"/>
                <w:szCs w:val="24"/>
                <w:lang w:val="en-US" w:eastAsia="zh-CN"/>
              </w:rPr>
              <w:t>地</w:t>
            </w:r>
            <w:r>
              <w:rPr>
                <w:rFonts w:hint="default" w:ascii="Times New Roman" w:hAnsi="Times New Roman" w:eastAsia="宋体" w:cs="Times New Roman"/>
                <w:sz w:val="24"/>
                <w:szCs w:val="24"/>
                <w:lang w:val="en-US" w:eastAsia="zh-CN"/>
              </w:rPr>
              <w:t>运行</w:t>
            </w:r>
            <w:r>
              <w:rPr>
                <w:rFonts w:hint="default" w:ascii="Times New Roman" w:hAnsi="Times New Roman" w:eastAsia="宋体" w:cs="Times New Roman"/>
                <w:color w:val="0000FF"/>
                <w:sz w:val="24"/>
                <w:szCs w:val="24"/>
                <w:lang w:val="en-US" w:eastAsia="zh-CN"/>
              </w:rPr>
              <w:t>。</w:t>
            </w:r>
            <w:r>
              <w:rPr>
                <w:rFonts w:hint="default" w:ascii="Times New Roman" w:hAnsi="Times New Roman" w:eastAsia="宋体" w:cs="Times New Roman"/>
                <w:sz w:val="24"/>
                <w:szCs w:val="24"/>
                <w:lang w:val="en-US" w:eastAsia="zh-CN"/>
              </w:rPr>
              <w:t>企业已按环境管理要求进行了排污许可登记（排污许可证编号：91652</w:t>
            </w:r>
            <w:r>
              <w:rPr>
                <w:rFonts w:hint="eastAsia" w:ascii="Times New Roman" w:hAnsi="Times New Roman" w:eastAsia="宋体" w:cs="Times New Roman"/>
                <w:sz w:val="24"/>
                <w:szCs w:val="24"/>
                <w:lang w:val="en-US" w:eastAsia="zh-CN"/>
              </w:rPr>
              <w:t>801MA792G7W9A001X</w:t>
            </w:r>
            <w:r>
              <w:rPr>
                <w:rFonts w:hint="default"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82"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3、规范化排污口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本项目废气、废水排放、固体废物均设有标识牌，主要废气排放点开设有符合环境监测规范的监测口。</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82"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4、环评及批复意见落实情况检查结果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针对</w:t>
            </w:r>
            <w:r>
              <w:rPr>
                <w:rFonts w:hint="eastAsia" w:ascii="Times New Roman" w:hAnsi="Times New Roman" w:eastAsia="宋体" w:cs="Times New Roman"/>
                <w:sz w:val="24"/>
                <w:szCs w:val="24"/>
                <w:lang w:val="en-US" w:eastAsia="zh-CN"/>
              </w:rPr>
              <w:t>巴州生态环境局</w:t>
            </w:r>
            <w:r>
              <w:rPr>
                <w:rFonts w:hint="default" w:ascii="Times New Roman" w:hAnsi="Times New Roman" w:eastAsia="宋体" w:cs="Times New Roman"/>
                <w:sz w:val="24"/>
                <w:szCs w:val="24"/>
                <w:lang w:val="en-US" w:eastAsia="zh-CN"/>
              </w:rPr>
              <w:t>的批复要求，现场逐条进行了检查，项目落实情况表7-2。</w:t>
            </w:r>
          </w:p>
          <w:p>
            <w:pPr>
              <w:bidi w:val="0"/>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表7-2项目落实情况一览表</w:t>
            </w:r>
          </w:p>
          <w:tbl>
            <w:tblPr>
              <w:tblStyle w:val="24"/>
              <w:tblW w:w="834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3902"/>
              <w:gridCol w:w="3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6" w:type="dxa"/>
                  <w:tcBorders>
                    <w:tl2br w:val="nil"/>
                    <w:tr2bl w:val="nil"/>
                  </w:tcBorders>
                  <w:vAlign w:val="center"/>
                </w:tcPr>
                <w:p>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序号</w:t>
                  </w:r>
                </w:p>
              </w:tc>
              <w:tc>
                <w:tcPr>
                  <w:tcW w:w="3902" w:type="dxa"/>
                  <w:tcBorders>
                    <w:tl2br w:val="nil"/>
                    <w:tr2bl w:val="nil"/>
                  </w:tcBorders>
                  <w:vAlign w:val="center"/>
                </w:tcPr>
                <w:p>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审批意见</w:t>
                  </w:r>
                </w:p>
              </w:tc>
              <w:tc>
                <w:tcPr>
                  <w:tcW w:w="3596" w:type="dxa"/>
                  <w:tcBorders>
                    <w:tl2br w:val="nil"/>
                    <w:tr2bl w:val="nil"/>
                  </w:tcBorders>
                  <w:vAlign w:val="center"/>
                </w:tcPr>
                <w:p>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执行情况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6" w:type="dxa"/>
                  <w:tcBorders>
                    <w:tl2br w:val="nil"/>
                    <w:tr2bl w:val="nil"/>
                  </w:tcBorders>
                  <w:vAlign w:val="center"/>
                </w:tcPr>
                <w:p>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w:t>
                  </w:r>
                </w:p>
              </w:tc>
              <w:tc>
                <w:tcPr>
                  <w:tcW w:w="3902" w:type="dxa"/>
                  <w:tcBorders>
                    <w:tl2br w:val="nil"/>
                    <w:tr2bl w:val="nil"/>
                  </w:tcBorders>
                  <w:vAlign w:val="center"/>
                </w:tcPr>
                <w:p>
                  <w:pPr>
                    <w:keepNext w:val="0"/>
                    <w:keepLines w:val="0"/>
                    <w:pageBreakBefore w:val="0"/>
                    <w:widowControl w:val="0"/>
                    <w:numPr>
                      <w:ilvl w:val="0"/>
                      <w:numId w:val="8"/>
                    </w:numPr>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rPr>
                  </w:pPr>
                  <w:r>
                    <w:rPr>
                      <w:rFonts w:hint="default" w:ascii="Times New Roman" w:hAnsi="Times New Roman" w:eastAsia="宋体" w:cs="Times New Roman"/>
                    </w:rPr>
                    <w:t>项目位于库尔勒经济技术开发区康盛路西侧现有厂区内。项目区中心地理坐标：N</w:t>
                  </w:r>
                  <w:r>
                    <w:rPr>
                      <w:rFonts w:hint="eastAsia" w:ascii="Times New Roman" w:hAnsi="Times New Roman" w:eastAsia="宋体" w:cs="Times New Roman"/>
                      <w:lang w:val="en-US" w:eastAsia="zh-CN"/>
                    </w:rPr>
                    <w:t>41</w:t>
                  </w:r>
                  <w:r>
                    <w:rPr>
                      <w:rFonts w:hint="default" w:ascii="Times New Roman" w:hAnsi="Times New Roman" w:eastAsia="宋体" w:cs="Times New Roman"/>
                    </w:rPr>
                    <w:t>°</w:t>
                  </w:r>
                  <w:r>
                    <w:rPr>
                      <w:rFonts w:hint="eastAsia" w:ascii="Times New Roman" w:hAnsi="Times New Roman" w:eastAsia="宋体" w:cs="Times New Roman"/>
                      <w:lang w:val="en-US" w:eastAsia="zh-CN"/>
                    </w:rPr>
                    <w:t>40</w:t>
                  </w:r>
                  <w:r>
                    <w:rPr>
                      <w:rFonts w:hint="default" w:ascii="Times New Roman" w:hAnsi="Times New Roman" w:eastAsia="宋体" w:cs="Times New Roman"/>
                    </w:rPr>
                    <w:t>'</w:t>
                  </w:r>
                  <w:r>
                    <w:rPr>
                      <w:rFonts w:hint="eastAsia" w:ascii="Times New Roman" w:hAnsi="Times New Roman" w:eastAsia="宋体" w:cs="Times New Roman"/>
                      <w:lang w:val="en-US" w:eastAsia="zh-CN"/>
                    </w:rPr>
                    <w:t>24.42</w:t>
                  </w:r>
                  <w:r>
                    <w:rPr>
                      <w:rFonts w:hint="default" w:ascii="Times New Roman" w:hAnsi="Times New Roman" w:eastAsia="宋体" w:cs="Times New Roman"/>
                    </w:rPr>
                    <w:t>"，E8</w:t>
                  </w:r>
                  <w:r>
                    <w:rPr>
                      <w:rFonts w:hint="eastAsia" w:ascii="Times New Roman" w:hAnsi="Times New Roman" w:eastAsia="宋体" w:cs="Times New Roman"/>
                      <w:lang w:val="en-US" w:eastAsia="zh-CN"/>
                    </w:rPr>
                    <w:t>6</w:t>
                  </w:r>
                  <w:r>
                    <w:rPr>
                      <w:rFonts w:hint="default" w:ascii="Times New Roman" w:hAnsi="Times New Roman" w:eastAsia="宋体" w:cs="Times New Roman"/>
                    </w:rPr>
                    <w:t>°</w:t>
                  </w:r>
                  <w:r>
                    <w:rPr>
                      <w:rFonts w:hint="eastAsia" w:ascii="Times New Roman" w:hAnsi="Times New Roman" w:eastAsia="宋体" w:cs="Times New Roman"/>
                      <w:lang w:val="en-US" w:eastAsia="zh-CN"/>
                    </w:rPr>
                    <w:t>11</w:t>
                  </w:r>
                  <w:r>
                    <w:rPr>
                      <w:rFonts w:hint="default" w:ascii="Times New Roman" w:hAnsi="Times New Roman" w:eastAsia="宋体" w:cs="Times New Roman"/>
                    </w:rPr>
                    <w:t>'</w:t>
                  </w:r>
                  <w:r>
                    <w:rPr>
                      <w:rFonts w:hint="eastAsia" w:ascii="Times New Roman" w:hAnsi="Times New Roman" w:eastAsia="宋体" w:cs="Times New Roman"/>
                      <w:lang w:val="en-US" w:eastAsia="zh-CN"/>
                    </w:rPr>
                    <w:t>53.28</w:t>
                  </w:r>
                  <w:r>
                    <w:rPr>
                      <w:rFonts w:hint="default" w:ascii="Times New Roman" w:hAnsi="Times New Roman" w:eastAsia="宋体" w:cs="Times New Roman"/>
                    </w:rPr>
                    <w:t>"。</w:t>
                  </w:r>
                </w:p>
                <w:p>
                  <w:pPr>
                    <w:keepNext w:val="0"/>
                    <w:keepLines w:val="0"/>
                    <w:pageBreakBefore w:val="0"/>
                    <w:widowControl w:val="0"/>
                    <w:numPr>
                      <w:ilvl w:val="0"/>
                      <w:numId w:val="8"/>
                    </w:numPr>
                    <w:kinsoku/>
                    <w:wordWrap/>
                    <w:overflowPunct/>
                    <w:topLinePunct w:val="0"/>
                    <w:autoSpaceDE/>
                    <w:autoSpaceDN/>
                    <w:bidi w:val="0"/>
                    <w:adjustRightInd/>
                    <w:snapToGrid/>
                    <w:ind w:left="0" w:leftChars="0" w:firstLine="480" w:firstLineChars="200"/>
                    <w:jc w:val="both"/>
                    <w:textAlignment w:val="auto"/>
                    <w:rPr>
                      <w:rFonts w:hint="default" w:ascii="Times New Roman" w:hAnsi="Times New Roman" w:eastAsia="宋体" w:cs="Times New Roman"/>
                    </w:rPr>
                  </w:pPr>
                  <w:r>
                    <w:rPr>
                      <w:rFonts w:hint="default" w:ascii="Times New Roman" w:hAnsi="Times New Roman" w:eastAsia="宋体" w:cs="Times New Roman"/>
                    </w:rPr>
                    <w:t>本项目总投资</w:t>
                  </w:r>
                  <w:r>
                    <w:rPr>
                      <w:rFonts w:hint="eastAsia" w:ascii="Times New Roman" w:hAnsi="Times New Roman" w:eastAsia="宋体" w:cs="Times New Roman"/>
                      <w:lang w:val="en-US" w:eastAsia="zh-CN"/>
                    </w:rPr>
                    <w:t>1亿</w:t>
                  </w:r>
                  <w:r>
                    <w:rPr>
                      <w:rFonts w:hint="default" w:ascii="Times New Roman" w:hAnsi="Times New Roman" w:eastAsia="宋体" w:cs="Times New Roman"/>
                    </w:rPr>
                    <w:t>元，其中环保投资</w:t>
                  </w:r>
                  <w:r>
                    <w:rPr>
                      <w:rFonts w:hint="eastAsia" w:ascii="Times New Roman" w:hAnsi="Times New Roman" w:eastAsia="宋体" w:cs="Times New Roman"/>
                      <w:lang w:val="en-US" w:eastAsia="zh-CN"/>
                    </w:rPr>
                    <w:t>125</w:t>
                  </w:r>
                  <w:r>
                    <w:rPr>
                      <w:rFonts w:hint="default" w:ascii="Times New Roman" w:hAnsi="Times New Roman" w:eastAsia="宋体" w:cs="Times New Roman"/>
                    </w:rPr>
                    <w:t>万元。</w:t>
                  </w:r>
                </w:p>
                <w:p>
                  <w:pPr>
                    <w:keepNext w:val="0"/>
                    <w:keepLines w:val="0"/>
                    <w:pageBreakBefore w:val="0"/>
                    <w:widowControl w:val="0"/>
                    <w:numPr>
                      <w:ilvl w:val="0"/>
                      <w:numId w:val="8"/>
                    </w:numPr>
                    <w:kinsoku/>
                    <w:wordWrap/>
                    <w:overflowPunct/>
                    <w:topLinePunct w:val="0"/>
                    <w:autoSpaceDE/>
                    <w:autoSpaceDN/>
                    <w:bidi w:val="0"/>
                    <w:adjustRightInd/>
                    <w:snapToGrid/>
                    <w:ind w:left="0" w:leftChars="0" w:firstLine="480" w:firstLineChars="200"/>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建设内容：项目</w:t>
                  </w:r>
                  <w:r>
                    <w:t>新增2台</w:t>
                  </w:r>
                  <w:r>
                    <w:rPr>
                      <w:lang w:val="en-US" w:eastAsia="en-US"/>
                    </w:rPr>
                    <w:t>4t/h</w:t>
                  </w:r>
                  <w:r>
                    <w:t>燃气锅炉、原料储罐4座，</w:t>
                  </w:r>
                  <w:r>
                    <w:rPr>
                      <w:rFonts w:hint="eastAsia" w:ascii="Times New Roman" w:hAnsi="Times New Roman" w:eastAsia="宋体" w:cs="Times New Roman"/>
                      <w:lang w:val="en-US" w:eastAsia="zh-CN"/>
                    </w:rPr>
                    <w:t>本项目扩能后</w:t>
                  </w:r>
                  <w:r>
                    <w:t>年产100万</w:t>
                  </w:r>
                  <w:r>
                    <w:rPr>
                      <w:lang w:val="en-US" w:eastAsia="en-US"/>
                    </w:rPr>
                    <w:t>m</w:t>
                  </w:r>
                  <w:r>
                    <w:rPr>
                      <w:vertAlign w:val="superscript"/>
                      <w:lang w:val="en-US" w:eastAsia="en-US"/>
                    </w:rPr>
                    <w:t>2</w:t>
                  </w:r>
                  <w:r>
                    <w:t>免拆模板复合保温墙板、100万</w:t>
                  </w:r>
                  <w:r>
                    <w:rPr>
                      <w:rFonts w:hint="eastAsia"/>
                      <w:lang w:val="en-US" w:eastAsia="zh-CN"/>
                    </w:rPr>
                    <w:t>m</w:t>
                  </w:r>
                  <w:r>
                    <w:rPr>
                      <w:rFonts w:hint="eastAsia"/>
                      <w:vertAlign w:val="superscript"/>
                      <w:lang w:val="en-US" w:eastAsia="zh-CN"/>
                    </w:rPr>
                    <w:t>2</w:t>
                  </w:r>
                  <w:r>
                    <w:t>叠合楼板、5万</w:t>
                  </w:r>
                  <w:r>
                    <w:rPr>
                      <w:lang w:val="en-US" w:eastAsia="en-US"/>
                    </w:rPr>
                    <w:t>m</w:t>
                  </w:r>
                  <w:r>
                    <w:rPr>
                      <w:vertAlign w:val="superscript"/>
                      <w:lang w:val="en-US" w:eastAsia="en-US"/>
                    </w:rPr>
                    <w:t>3</w:t>
                  </w:r>
                  <w:r>
                    <w:rPr>
                      <w:rFonts w:hint="eastAsia"/>
                      <w:vertAlign w:val="baseline"/>
                      <w:lang w:val="en-US" w:eastAsia="zh-CN"/>
                    </w:rPr>
                    <w:t>PC</w:t>
                  </w:r>
                  <w:r>
                    <w:t>构件、商品混凝土 95万m</w:t>
                  </w:r>
                  <w:r>
                    <w:rPr>
                      <w:vertAlign w:val="superscript"/>
                    </w:rPr>
                    <w:t>3</w:t>
                  </w:r>
                  <w:r>
                    <w:rPr>
                      <w:rFonts w:hint="default" w:ascii="Times New Roman" w:hAnsi="Times New Roman" w:eastAsia="宋体" w:cs="Times New Roman"/>
                    </w:rPr>
                    <w:t>。（4）生产规模：</w:t>
                  </w:r>
                  <w:r>
                    <w:rPr>
                      <w:rFonts w:hint="eastAsia" w:ascii="Times New Roman" w:hAnsi="Times New Roman" w:eastAsia="宋体" w:cs="Times New Roman"/>
                      <w:lang w:val="en-US" w:eastAsia="zh-CN"/>
                    </w:rPr>
                    <w:t>本项目扩能后</w:t>
                  </w:r>
                  <w:r>
                    <w:t>年产100万</w:t>
                  </w:r>
                  <w:r>
                    <w:rPr>
                      <w:lang w:val="en-US" w:eastAsia="en-US"/>
                    </w:rPr>
                    <w:t>m</w:t>
                  </w:r>
                  <w:r>
                    <w:rPr>
                      <w:vertAlign w:val="superscript"/>
                      <w:lang w:val="en-US" w:eastAsia="en-US"/>
                    </w:rPr>
                    <w:t>2</w:t>
                  </w:r>
                  <w:r>
                    <w:t>免拆模板复合保温墙板、100万</w:t>
                  </w:r>
                  <w:r>
                    <w:rPr>
                      <w:rFonts w:hint="eastAsia"/>
                      <w:lang w:val="en-US" w:eastAsia="zh-CN"/>
                    </w:rPr>
                    <w:t>m</w:t>
                  </w:r>
                  <w:r>
                    <w:rPr>
                      <w:rFonts w:hint="eastAsia"/>
                      <w:vertAlign w:val="superscript"/>
                      <w:lang w:val="en-US" w:eastAsia="zh-CN"/>
                    </w:rPr>
                    <w:t>2</w:t>
                  </w:r>
                  <w:r>
                    <w:t>叠合楼板、5万</w:t>
                  </w:r>
                  <w:r>
                    <w:rPr>
                      <w:lang w:val="en-US" w:eastAsia="en-US"/>
                    </w:rPr>
                    <w:t>m</w:t>
                  </w:r>
                  <w:r>
                    <w:rPr>
                      <w:vertAlign w:val="superscript"/>
                      <w:lang w:val="en-US" w:eastAsia="en-US"/>
                    </w:rPr>
                    <w:t>3</w:t>
                  </w:r>
                  <w:r>
                    <w:rPr>
                      <w:rFonts w:hint="eastAsia"/>
                      <w:vertAlign w:val="baseline"/>
                      <w:lang w:val="en-US" w:eastAsia="zh-CN"/>
                    </w:rPr>
                    <w:t>PC</w:t>
                  </w:r>
                  <w:r>
                    <w:t>构件、商品混凝土 95万m</w:t>
                  </w:r>
                  <w:r>
                    <w:rPr>
                      <w:vertAlign w:val="superscript"/>
                    </w:rPr>
                    <w:t>3</w:t>
                  </w:r>
                  <w:r>
                    <w:rPr>
                      <w:rFonts w:hint="default" w:ascii="Times New Roman" w:hAnsi="Times New Roman" w:eastAsia="宋体" w:cs="Times New Roman"/>
                    </w:rPr>
                    <w:t>。</w:t>
                  </w:r>
                </w:p>
              </w:tc>
              <w:tc>
                <w:tcPr>
                  <w:tcW w:w="359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Times New Roman" w:hAnsi="Times New Roman" w:eastAsia="宋体" w:cs="Times New Roman"/>
                    </w:rPr>
                  </w:pPr>
                  <w:r>
                    <w:rPr>
                      <w:rFonts w:hint="default" w:ascii="Times New Roman" w:hAnsi="Times New Roman" w:eastAsia="宋体" w:cs="Times New Roman"/>
                      <w:lang w:val="en-US" w:eastAsia="zh-CN"/>
                    </w:rPr>
                    <w:t>经现场勘查，①</w:t>
                  </w:r>
                  <w:r>
                    <w:rPr>
                      <w:rFonts w:hint="default" w:ascii="Times New Roman" w:hAnsi="Times New Roman" w:eastAsia="宋体" w:cs="Times New Roman"/>
                    </w:rPr>
                    <w:t>项目位于库尔勒经济技术开发区康盛路西侧现有厂区内。项目区中心地理坐标：N</w:t>
                  </w:r>
                  <w:r>
                    <w:rPr>
                      <w:rFonts w:hint="eastAsia" w:ascii="Times New Roman" w:hAnsi="Times New Roman" w:eastAsia="宋体" w:cs="Times New Roman"/>
                      <w:lang w:val="en-US" w:eastAsia="zh-CN"/>
                    </w:rPr>
                    <w:t>41</w:t>
                  </w:r>
                  <w:r>
                    <w:rPr>
                      <w:rFonts w:hint="default" w:ascii="Times New Roman" w:hAnsi="Times New Roman" w:eastAsia="宋体" w:cs="Times New Roman"/>
                    </w:rPr>
                    <w:t>°</w:t>
                  </w:r>
                  <w:r>
                    <w:rPr>
                      <w:rFonts w:hint="eastAsia" w:ascii="Times New Roman" w:hAnsi="Times New Roman" w:eastAsia="宋体" w:cs="Times New Roman"/>
                      <w:lang w:val="en-US" w:eastAsia="zh-CN"/>
                    </w:rPr>
                    <w:t>40</w:t>
                  </w:r>
                  <w:r>
                    <w:rPr>
                      <w:rFonts w:hint="default" w:ascii="Times New Roman" w:hAnsi="Times New Roman" w:eastAsia="宋体" w:cs="Times New Roman"/>
                    </w:rPr>
                    <w:t>'</w:t>
                  </w:r>
                  <w:r>
                    <w:rPr>
                      <w:rFonts w:hint="eastAsia" w:ascii="Times New Roman" w:hAnsi="Times New Roman" w:eastAsia="宋体" w:cs="Times New Roman"/>
                      <w:lang w:val="en-US" w:eastAsia="zh-CN"/>
                    </w:rPr>
                    <w:t>24.42</w:t>
                  </w:r>
                  <w:r>
                    <w:rPr>
                      <w:rFonts w:hint="default" w:ascii="Times New Roman" w:hAnsi="Times New Roman" w:eastAsia="宋体" w:cs="Times New Roman"/>
                    </w:rPr>
                    <w:t>"，E8</w:t>
                  </w:r>
                  <w:r>
                    <w:rPr>
                      <w:rFonts w:hint="eastAsia" w:ascii="Times New Roman" w:hAnsi="Times New Roman" w:eastAsia="宋体" w:cs="Times New Roman"/>
                      <w:lang w:val="en-US" w:eastAsia="zh-CN"/>
                    </w:rPr>
                    <w:t>6</w:t>
                  </w:r>
                  <w:r>
                    <w:rPr>
                      <w:rFonts w:hint="default" w:ascii="Times New Roman" w:hAnsi="Times New Roman" w:eastAsia="宋体" w:cs="Times New Roman"/>
                    </w:rPr>
                    <w:t>°</w:t>
                  </w:r>
                  <w:r>
                    <w:rPr>
                      <w:rFonts w:hint="eastAsia" w:ascii="Times New Roman" w:hAnsi="Times New Roman" w:eastAsia="宋体" w:cs="Times New Roman"/>
                      <w:lang w:val="en-US" w:eastAsia="zh-CN"/>
                    </w:rPr>
                    <w:t>11</w:t>
                  </w:r>
                  <w:r>
                    <w:rPr>
                      <w:rFonts w:hint="default" w:ascii="Times New Roman" w:hAnsi="Times New Roman" w:eastAsia="宋体" w:cs="Times New Roman"/>
                    </w:rPr>
                    <w:t>'</w:t>
                  </w:r>
                  <w:r>
                    <w:rPr>
                      <w:rFonts w:hint="eastAsia" w:ascii="Times New Roman" w:hAnsi="Times New Roman" w:eastAsia="宋体" w:cs="Times New Roman"/>
                      <w:lang w:val="en-US" w:eastAsia="zh-CN"/>
                    </w:rPr>
                    <w:t>53.28</w:t>
                  </w:r>
                  <w:r>
                    <w:rPr>
                      <w:rFonts w:hint="default" w:ascii="Times New Roman" w:hAnsi="Times New Roman" w:eastAsia="宋体" w:cs="Times New Roman"/>
                    </w:rPr>
                    <w:t>"。</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②本项目实际总投资</w:t>
                  </w:r>
                  <w:r>
                    <w:rPr>
                      <w:rFonts w:hint="eastAsia" w:ascii="Times New Roman" w:hAnsi="Times New Roman" w:eastAsia="宋体" w:cs="Times New Roman"/>
                      <w:lang w:val="en-US" w:eastAsia="zh-CN"/>
                    </w:rPr>
                    <w:t>1亿</w:t>
                  </w:r>
                  <w:r>
                    <w:rPr>
                      <w:rFonts w:hint="default" w:ascii="Times New Roman" w:hAnsi="Times New Roman" w:eastAsia="宋体" w:cs="Times New Roman"/>
                      <w:lang w:val="en-US" w:eastAsia="zh-CN"/>
                    </w:rPr>
                    <w:t>元，其中环保投资</w:t>
                  </w:r>
                  <w:r>
                    <w:rPr>
                      <w:rFonts w:hint="eastAsia" w:ascii="Times New Roman" w:hAnsi="Times New Roman" w:eastAsia="宋体" w:cs="Times New Roman"/>
                      <w:lang w:val="en-US" w:eastAsia="zh-CN"/>
                    </w:rPr>
                    <w:t>125</w:t>
                  </w:r>
                  <w:r>
                    <w:rPr>
                      <w:rFonts w:hint="default" w:ascii="Times New Roman" w:hAnsi="Times New Roman" w:eastAsia="宋体" w:cs="Times New Roman"/>
                      <w:lang w:val="en-US" w:eastAsia="zh-CN"/>
                    </w:rPr>
                    <w:t>万元；</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③</w:t>
                  </w:r>
                  <w:r>
                    <w:rPr>
                      <w:rFonts w:hint="default" w:ascii="Times New Roman" w:hAnsi="Times New Roman" w:eastAsia="宋体" w:cs="Times New Roman"/>
                    </w:rPr>
                    <w:t>项目主要建</w:t>
                  </w:r>
                  <w:r>
                    <w:rPr>
                      <w:rFonts w:hint="default" w:ascii="Times New Roman" w:hAnsi="Times New Roman" w:eastAsia="宋体" w:cs="Times New Roman"/>
                      <w:lang w:val="en-US" w:eastAsia="zh-CN"/>
                    </w:rPr>
                    <w:t>成</w:t>
                  </w:r>
                  <w:r>
                    <w:t>原料储罐4座，</w:t>
                  </w:r>
                  <w:r>
                    <w:rPr>
                      <w:rFonts w:hint="eastAsia" w:ascii="Times New Roman" w:hAnsi="Times New Roman" w:eastAsia="宋体" w:cs="Times New Roman"/>
                      <w:lang w:val="en-US" w:eastAsia="zh-CN"/>
                    </w:rPr>
                    <w:t>本项目扩能后</w:t>
                  </w:r>
                  <w:r>
                    <w:t>年产100万</w:t>
                  </w:r>
                  <w:r>
                    <w:rPr>
                      <w:lang w:val="en-US" w:eastAsia="en-US"/>
                    </w:rPr>
                    <w:t>m</w:t>
                  </w:r>
                  <w:r>
                    <w:rPr>
                      <w:vertAlign w:val="superscript"/>
                      <w:lang w:val="en-US" w:eastAsia="en-US"/>
                    </w:rPr>
                    <w:t>2</w:t>
                  </w:r>
                  <w:r>
                    <w:t>免拆模板复合保温墙板、100万</w:t>
                  </w:r>
                  <w:r>
                    <w:rPr>
                      <w:rFonts w:hint="eastAsia"/>
                      <w:lang w:val="en-US" w:eastAsia="zh-CN"/>
                    </w:rPr>
                    <w:t>m</w:t>
                  </w:r>
                  <w:r>
                    <w:rPr>
                      <w:rFonts w:hint="eastAsia"/>
                      <w:vertAlign w:val="superscript"/>
                      <w:lang w:val="en-US" w:eastAsia="zh-CN"/>
                    </w:rPr>
                    <w:t>2</w:t>
                  </w:r>
                  <w:r>
                    <w:t>叠合楼板、5万</w:t>
                  </w:r>
                  <w:r>
                    <w:rPr>
                      <w:lang w:val="en-US" w:eastAsia="en-US"/>
                    </w:rPr>
                    <w:t>m</w:t>
                  </w:r>
                  <w:r>
                    <w:rPr>
                      <w:vertAlign w:val="superscript"/>
                      <w:lang w:val="en-US" w:eastAsia="en-US"/>
                    </w:rPr>
                    <w:t>3</w:t>
                  </w:r>
                  <w:r>
                    <w:rPr>
                      <w:rFonts w:hint="eastAsia"/>
                      <w:vertAlign w:val="baseline"/>
                      <w:lang w:val="en-US" w:eastAsia="zh-CN"/>
                    </w:rPr>
                    <w:t>PC</w:t>
                  </w:r>
                  <w:r>
                    <w:t>构件、商品混凝土 95万m</w:t>
                  </w:r>
                  <w:r>
                    <w:rPr>
                      <w:vertAlign w:val="superscript"/>
                    </w:rPr>
                    <w:t>3</w:t>
                  </w:r>
                  <w:r>
                    <w:rPr>
                      <w:rFonts w:hint="eastAsia"/>
                      <w:vertAlign w:val="baseline"/>
                      <w:lang w:eastAsia="zh-CN"/>
                    </w:rPr>
                    <w:t>，</w:t>
                  </w:r>
                  <w:r>
                    <w:t>2台</w:t>
                  </w:r>
                  <w:r>
                    <w:rPr>
                      <w:lang w:val="en-US" w:eastAsia="en-US"/>
                    </w:rPr>
                    <w:t>4t/h</w:t>
                  </w:r>
                  <w:r>
                    <w:t>燃气锅炉</w:t>
                  </w:r>
                  <w:r>
                    <w:rPr>
                      <w:rFonts w:hint="eastAsia"/>
                      <w:lang w:val="en-US" w:eastAsia="zh-CN"/>
                    </w:rPr>
                    <w:t>未建设</w:t>
                  </w:r>
                  <w:r>
                    <w:rPr>
                      <w:rFonts w:hint="default" w:ascii="Times New Roman" w:hAnsi="Times New Roman" w:eastAsia="宋体" w:cs="Times New Roman"/>
                    </w:rPr>
                    <w:t>。</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④验收期间</w:t>
                  </w:r>
                  <w:r>
                    <w:rPr>
                      <w:rFonts w:hint="default" w:ascii="Times New Roman" w:hAnsi="Times New Roman" w:eastAsia="宋体" w:cs="Times New Roman"/>
                    </w:rPr>
                    <w:t>生产规模：</w:t>
                  </w:r>
                  <w:r>
                    <w:t>年产100万</w:t>
                  </w:r>
                  <w:r>
                    <w:rPr>
                      <w:lang w:val="en-US" w:eastAsia="en-US"/>
                    </w:rPr>
                    <w:t>m</w:t>
                  </w:r>
                  <w:r>
                    <w:rPr>
                      <w:vertAlign w:val="superscript"/>
                      <w:lang w:val="en-US" w:eastAsia="en-US"/>
                    </w:rPr>
                    <w:t>2</w:t>
                  </w:r>
                  <w:r>
                    <w:t>免拆模板复合保温墙板、100万</w:t>
                  </w:r>
                  <w:r>
                    <w:rPr>
                      <w:rFonts w:hint="eastAsia"/>
                      <w:lang w:val="en-US" w:eastAsia="zh-CN"/>
                    </w:rPr>
                    <w:t>m</w:t>
                  </w:r>
                  <w:r>
                    <w:rPr>
                      <w:rFonts w:hint="eastAsia"/>
                      <w:vertAlign w:val="superscript"/>
                      <w:lang w:val="en-US" w:eastAsia="zh-CN"/>
                    </w:rPr>
                    <w:t>2</w:t>
                  </w:r>
                  <w:r>
                    <w:t>叠合楼板、5万</w:t>
                  </w:r>
                  <w:r>
                    <w:rPr>
                      <w:lang w:val="en-US" w:eastAsia="en-US"/>
                    </w:rPr>
                    <w:t>m</w:t>
                  </w:r>
                  <w:r>
                    <w:rPr>
                      <w:vertAlign w:val="superscript"/>
                      <w:lang w:val="en-US" w:eastAsia="en-US"/>
                    </w:rPr>
                    <w:t>3</w:t>
                  </w:r>
                  <w:r>
                    <w:rPr>
                      <w:rFonts w:hint="eastAsia"/>
                      <w:vertAlign w:val="baseline"/>
                      <w:lang w:val="en-US" w:eastAsia="zh-CN"/>
                    </w:rPr>
                    <w:t>PC</w:t>
                  </w:r>
                  <w:r>
                    <w:t>构件、商品混凝土 95万m</w:t>
                  </w:r>
                  <w:r>
                    <w:rPr>
                      <w:vertAlign w:val="superscript"/>
                    </w:rPr>
                    <w:t>3</w:t>
                  </w:r>
                  <w:r>
                    <w:rPr>
                      <w:rFonts w:hint="default" w:ascii="Times New Roman" w:hAnsi="Times New Roman" w:eastAsia="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6" w:type="dxa"/>
                  <w:tcBorders>
                    <w:tl2br w:val="nil"/>
                    <w:tr2bl w:val="nil"/>
                  </w:tcBorders>
                  <w:vAlign w:val="center"/>
                </w:tcPr>
                <w:p>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w:t>
                  </w:r>
                </w:p>
              </w:tc>
              <w:tc>
                <w:tcPr>
                  <w:tcW w:w="39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该项目运营期间</w:t>
                  </w:r>
                  <w:r>
                    <w:rPr>
                      <w:rFonts w:hint="eastAsia" w:ascii="Times New Roman" w:hAnsi="Times New Roman" w:eastAsia="宋体" w:cs="Times New Roman"/>
                      <w:lang w:val="en-US" w:eastAsia="zh-CN"/>
                    </w:rPr>
                    <w:t>搅拌机清洗废水、商品混凝土运输罐车清洗废水经二级沉淀后回用于生产，不外排；锅炉系统排水排入清洗水循环水池，经沉淀澄清后用于车辆清洗用水和沙石堆场降尘，不外排。</w:t>
                  </w:r>
                </w:p>
              </w:tc>
              <w:tc>
                <w:tcPr>
                  <w:tcW w:w="35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已落实，验收期间，</w:t>
                  </w:r>
                  <w:r>
                    <w:rPr>
                      <w:rFonts w:hint="eastAsia" w:ascii="Times New Roman" w:hAnsi="Times New Roman" w:eastAsia="宋体" w:cs="Times New Roman"/>
                      <w:lang w:val="en-US" w:eastAsia="zh-CN"/>
                    </w:rPr>
                    <w:t>生产废水经二级沉淀后回用于生产，锅炉</w:t>
                  </w:r>
                  <w:r>
                    <w:rPr>
                      <w:rFonts w:hint="eastAsia" w:cs="Times New Roman"/>
                      <w:lang w:val="en-US" w:eastAsia="zh-CN"/>
                    </w:rPr>
                    <w:t>未建设，不存在锅炉系统排水</w:t>
                  </w:r>
                  <w:r>
                    <w:rPr>
                      <w:rFonts w:hint="eastAsia" w:ascii="Times New Roman" w:hAnsi="Times New Roman" w:eastAsia="宋体"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6" w:type="dxa"/>
                  <w:tcBorders>
                    <w:tl2br w:val="nil"/>
                    <w:tr2bl w:val="nil"/>
                  </w:tcBorders>
                  <w:vAlign w:val="center"/>
                </w:tcPr>
                <w:p>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w:t>
                  </w:r>
                </w:p>
              </w:tc>
              <w:tc>
                <w:tcPr>
                  <w:tcW w:w="39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rPr>
                  </w:pPr>
                  <w:r>
                    <w:rPr>
                      <w:rFonts w:hint="eastAsia" w:ascii="Times New Roman" w:hAnsi="Times New Roman" w:eastAsia="宋体" w:cs="Times New Roman"/>
                      <w:lang w:val="en-US" w:eastAsia="zh-CN"/>
                    </w:rPr>
                    <w:t>严格落实噪声污染防治措施，对各类设备噪声源</w:t>
                  </w:r>
                  <w:r>
                    <w:rPr>
                      <w:rFonts w:hint="default" w:ascii="Times New Roman" w:hAnsi="Times New Roman" w:eastAsia="宋体" w:cs="Times New Roman"/>
                    </w:rPr>
                    <w:t>采用</w:t>
                  </w:r>
                  <w:r>
                    <w:rPr>
                      <w:rFonts w:hint="eastAsia" w:ascii="Times New Roman" w:hAnsi="Times New Roman" w:eastAsia="宋体" w:cs="Times New Roman"/>
                      <w:lang w:val="en-US" w:eastAsia="zh-CN"/>
                    </w:rPr>
                    <w:t>减振、</w:t>
                  </w:r>
                  <w:r>
                    <w:rPr>
                      <w:rFonts w:hint="default" w:ascii="Times New Roman" w:hAnsi="Times New Roman" w:eastAsia="宋体" w:cs="Times New Roman"/>
                    </w:rPr>
                    <w:t>隔声</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消音等</w:t>
                  </w:r>
                  <w:r>
                    <w:rPr>
                      <w:rFonts w:hint="default" w:ascii="Times New Roman" w:hAnsi="Times New Roman" w:eastAsia="宋体" w:cs="Times New Roman"/>
                    </w:rPr>
                    <w:t>降噪措施，</w:t>
                  </w:r>
                  <w:r>
                    <w:rPr>
                      <w:rFonts w:hint="eastAsia" w:ascii="Times New Roman" w:hAnsi="Times New Roman" w:eastAsia="宋体" w:cs="Times New Roman"/>
                      <w:lang w:val="en-US" w:eastAsia="zh-CN"/>
                    </w:rPr>
                    <w:t>确保</w:t>
                  </w:r>
                  <w:r>
                    <w:rPr>
                      <w:rFonts w:hint="default" w:ascii="Times New Roman" w:hAnsi="Times New Roman" w:eastAsia="宋体" w:cs="Times New Roman"/>
                    </w:rPr>
                    <w:t>厂界噪声达到</w:t>
                  </w:r>
                  <w:r>
                    <w:rPr>
                      <w:rFonts w:hint="eastAsia" w:ascii="Times New Roman" w:hAnsi="Times New Roman" w:eastAsia="宋体" w:cs="Times New Roman"/>
                      <w:lang w:val="en-US" w:eastAsia="zh-CN"/>
                    </w:rPr>
                    <w:t>国家</w:t>
                  </w:r>
                  <w:r>
                    <w:rPr>
                      <w:rFonts w:hint="default" w:ascii="Times New Roman" w:hAnsi="Times New Roman" w:eastAsia="宋体" w:cs="Times New Roman"/>
                    </w:rPr>
                    <w:t>《工业企业厂界环境噪声排放标准》（GB12348-2008）中3类标准</w:t>
                  </w:r>
                  <w:r>
                    <w:rPr>
                      <w:rFonts w:hint="eastAsia" w:ascii="Times New Roman" w:hAnsi="Times New Roman" w:eastAsia="宋体" w:cs="Times New Roman"/>
                      <w:lang w:val="en-US" w:eastAsia="zh-CN"/>
                    </w:rPr>
                    <w:t>限值</w:t>
                  </w:r>
                  <w:r>
                    <w:rPr>
                      <w:rFonts w:hint="default" w:ascii="Times New Roman" w:hAnsi="Times New Roman" w:eastAsia="宋体" w:cs="Times New Roman"/>
                    </w:rPr>
                    <w:t>要求。</w:t>
                  </w:r>
                </w:p>
              </w:tc>
              <w:tc>
                <w:tcPr>
                  <w:tcW w:w="35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已落实，验收期间</w:t>
                  </w:r>
                  <w:r>
                    <w:rPr>
                      <w:rFonts w:hint="default" w:ascii="Times New Roman" w:hAnsi="Times New Roman" w:eastAsia="宋体" w:cs="Times New Roman"/>
                    </w:rPr>
                    <w:t>噪声</w:t>
                  </w:r>
                  <w:r>
                    <w:rPr>
                      <w:rFonts w:hint="default" w:ascii="Times New Roman" w:hAnsi="Times New Roman" w:eastAsia="宋体" w:cs="Times New Roman"/>
                      <w:lang w:val="en-US" w:eastAsia="zh-CN"/>
                    </w:rPr>
                    <w:t>昼夜间厂界四周噪声均满足</w:t>
                  </w:r>
                  <w:r>
                    <w:rPr>
                      <w:rFonts w:hint="default" w:ascii="Times New Roman" w:hAnsi="Times New Roman" w:eastAsia="宋体" w:cs="Times New Roman"/>
                    </w:rPr>
                    <w:t>《工业企业厂界环境噪声排放标准》（GB12348-2008）中3类标准</w:t>
                  </w:r>
                  <w:r>
                    <w:rPr>
                      <w:rFonts w:hint="default" w:ascii="Times New Roman" w:hAnsi="Times New Roman" w:eastAsia="宋体" w:cs="Times New Roman"/>
                      <w:lang w:val="en-US" w:eastAsia="zh-CN"/>
                    </w:rPr>
                    <w:t>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trPr>
              <w:tc>
                <w:tcPr>
                  <w:tcW w:w="846" w:type="dxa"/>
                  <w:tcBorders>
                    <w:tl2br w:val="nil"/>
                    <w:tr2bl w:val="nil"/>
                  </w:tcBorders>
                  <w:vAlign w:val="center"/>
                </w:tcPr>
                <w:p>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w:t>
                  </w:r>
                </w:p>
              </w:tc>
              <w:tc>
                <w:tcPr>
                  <w:tcW w:w="39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lang w:val="en-US" w:eastAsia="zh-CN"/>
                    </w:rPr>
                  </w:pPr>
                  <w:r>
                    <w:rPr>
                      <w:rFonts w:hint="eastAsia" w:ascii="Times New Roman" w:hAnsi="Times New Roman" w:eastAsia="宋体" w:cs="Times New Roman"/>
                      <w:sz w:val="24"/>
                      <w:szCs w:val="24"/>
                      <w:lang w:val="en-US" w:eastAsia="zh-CN"/>
                    </w:rPr>
                    <w:t>严格落实大气污染防治措施。商品混凝土与复合保温免拆保温模板物料输送储存工段及搅拌工段废气通过物料储料仓顶集气罩收集后经袋式除尘器处理</w:t>
                  </w:r>
                  <w:r>
                    <w:rPr>
                      <w:rFonts w:hint="eastAsia" w:cs="Times New Roman"/>
                      <w:sz w:val="24"/>
                      <w:szCs w:val="24"/>
                      <w:lang w:val="en-US" w:eastAsia="zh-CN"/>
                    </w:rPr>
                    <w:t>后在密闭车间内以无组织的形式自然沉降</w:t>
                  </w:r>
                  <w:r>
                    <w:rPr>
                      <w:rFonts w:hint="eastAsia" w:ascii="Times New Roman" w:hAnsi="Times New Roman" w:eastAsia="宋体" w:cs="Times New Roman"/>
                      <w:sz w:val="24"/>
                      <w:szCs w:val="24"/>
                      <w:lang w:val="en-US" w:eastAsia="zh-CN"/>
                    </w:rPr>
                    <w:t>，颗粒物排放浓度达到《水泥工业大气污染物综合排放标准》（GB4915-2013）表</w:t>
                  </w:r>
                  <w:r>
                    <w:rPr>
                      <w:rFonts w:hint="eastAsia" w:cs="Times New Roman"/>
                      <w:sz w:val="24"/>
                      <w:szCs w:val="24"/>
                      <w:lang w:val="en-US" w:eastAsia="zh-CN"/>
                    </w:rPr>
                    <w:t>3</w:t>
                  </w:r>
                  <w:r>
                    <w:rPr>
                      <w:rFonts w:hint="eastAsia" w:ascii="Times New Roman" w:hAnsi="Times New Roman" w:eastAsia="宋体" w:cs="Times New Roman"/>
                      <w:sz w:val="24"/>
                      <w:szCs w:val="24"/>
                      <w:lang w:val="en-US" w:eastAsia="zh-CN"/>
                    </w:rPr>
                    <w:t>大气污染物</w:t>
                  </w:r>
                  <w:r>
                    <w:rPr>
                      <w:rFonts w:hint="eastAsia" w:cs="Times New Roman"/>
                      <w:sz w:val="24"/>
                      <w:szCs w:val="24"/>
                      <w:lang w:val="en-US" w:eastAsia="zh-CN"/>
                    </w:rPr>
                    <w:t>无组织</w:t>
                  </w:r>
                  <w:r>
                    <w:rPr>
                      <w:rFonts w:hint="eastAsia" w:ascii="Times New Roman" w:hAnsi="Times New Roman" w:eastAsia="宋体" w:cs="Times New Roman"/>
                      <w:sz w:val="24"/>
                      <w:szCs w:val="24"/>
                      <w:lang w:val="en-US" w:eastAsia="zh-CN"/>
                    </w:rPr>
                    <w:t>排放限值</w:t>
                  </w:r>
                  <w:r>
                    <w:rPr>
                      <w:rFonts w:hint="eastAsia" w:cs="Times New Roman"/>
                      <w:sz w:val="24"/>
                      <w:szCs w:val="24"/>
                      <w:lang w:val="en-US" w:eastAsia="zh-CN"/>
                    </w:rPr>
                    <w:t>。</w:t>
                  </w:r>
                </w:p>
              </w:tc>
              <w:tc>
                <w:tcPr>
                  <w:tcW w:w="35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已落实，</w:t>
                  </w:r>
                  <w:r>
                    <w:rPr>
                      <w:rFonts w:hint="default" w:ascii="Times New Roman" w:hAnsi="Times New Roman" w:eastAsia="宋体" w:cs="Times New Roman"/>
                      <w:lang w:val="en-US" w:eastAsia="zh-CN"/>
                    </w:rPr>
                    <w:t>验收期间，经现场勘查项目设置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6" w:type="dxa"/>
                  <w:tcBorders>
                    <w:tl2br w:val="nil"/>
                    <w:tr2bl w:val="nil"/>
                  </w:tcBorders>
                  <w:vAlign w:val="center"/>
                </w:tcPr>
                <w:p>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w:t>
                  </w:r>
                </w:p>
              </w:tc>
              <w:tc>
                <w:tcPr>
                  <w:tcW w:w="39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加强环保设施运营管理，所有生产设施、生产活动原辅材料堆存必须在密闭式厂房内，并严格落实各项大气污染防治措施，原料堆场采取地面硬化、定期清扫并洒水抑尘等措施，减少粉尘排放，确保厂界颗粒物排放浓度达到《水泥工业大气污染物排放标准》（GB4915-2013）表3无组织排放标准要求。</w:t>
                  </w:r>
                </w:p>
              </w:tc>
              <w:tc>
                <w:tcPr>
                  <w:tcW w:w="35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已落实</w:t>
                  </w:r>
                  <w:r>
                    <w:rPr>
                      <w:rFonts w:hint="eastAsia" w:ascii="Times New Roman" w:hAnsi="Times New Roman" w:eastAsia="宋体" w:cs="Times New Roman"/>
                      <w:lang w:val="en-US" w:eastAsia="zh-CN"/>
                    </w:rPr>
                    <w:t>，经现场勘查项目设置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6" w:type="dxa"/>
                  <w:tcBorders>
                    <w:tl2br w:val="nil"/>
                    <w:tr2bl w:val="nil"/>
                  </w:tcBorders>
                  <w:vAlign w:val="center"/>
                </w:tcPr>
                <w:p>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w:t>
                  </w:r>
                </w:p>
              </w:tc>
              <w:tc>
                <w:tcPr>
                  <w:tcW w:w="39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严格落实固体废物污染防治措施，按照固体废物“减量化、资源化、无害化”原则进行处理。废弃的砂石料、循环水池产生的沉淀泥沙作为路面铺垫料或地面平整的填料综合利用；废树脂、除尘器废旧滤袋集中收集后交废旧物资回收部门；除尘器收集的粉尘回用于生产；废润滑油属于危险废物，严格按照《危险废物贮存污染控制标准》（GB18597-2023 ）、《中华人民共和 国固体废物污染环境防治法》的有关要求，暂存于危险废物暂存 间，定期委托有处置资质的单位进行规范化处置，并严格执行危废环境管理计划和危废转移联单制度，建立固体废物环境管理台 账；生活垃圾集中收集后交由环卫部门统一清运。</w:t>
                  </w:r>
                </w:p>
              </w:tc>
              <w:tc>
                <w:tcPr>
                  <w:tcW w:w="35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846" w:type="dxa"/>
                  <w:tcBorders>
                    <w:tl2br w:val="nil"/>
                    <w:tr2bl w:val="nil"/>
                  </w:tcBorders>
                  <w:vAlign w:val="center"/>
                </w:tcPr>
                <w:p>
                  <w:pPr>
                    <w:bidi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7</w:t>
                  </w:r>
                </w:p>
              </w:tc>
              <w:tc>
                <w:tcPr>
                  <w:tcW w:w="39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项目运行期各类污染物排放总量严格执行《关于巴州轮台县市政管网及公共服务基础设施建设项目主要污染物排放总量控制指标核定的函》（巴环总量函〔2022〕54号）核定的指标：氮氧化物排污许可量为0.717吨/年。</w:t>
                  </w:r>
                </w:p>
              </w:tc>
              <w:tc>
                <w:tcPr>
                  <w:tcW w:w="35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lang w:val="en-US" w:eastAsia="zh-CN"/>
                    </w:rPr>
                  </w:pPr>
                  <w:r>
                    <w:rPr>
                      <w:rFonts w:hint="eastAsia" w:cs="Times New Roman"/>
                      <w:lang w:val="en-US" w:eastAsia="zh-CN"/>
                    </w:rPr>
                    <w:t>锅炉未建设</w:t>
                  </w:r>
                </w:p>
              </w:tc>
            </w:tr>
          </w:tbl>
          <w:p>
            <w:pPr>
              <w:bidi w:val="0"/>
              <w:rPr>
                <w:rFonts w:hint="default" w:ascii="Times New Roman" w:hAnsi="Times New Roman" w:eastAsia="宋体" w:cs="Times New Roman"/>
              </w:rPr>
            </w:pPr>
          </w:p>
        </w:tc>
      </w:tr>
    </w:tbl>
    <w:p>
      <w:pPr>
        <w:pStyle w:val="3"/>
        <w:spacing w:before="0" w:after="0" w:line="240" w:lineRule="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表</w:t>
      </w:r>
      <w:r>
        <w:rPr>
          <w:rFonts w:hint="default" w:ascii="Times New Roman" w:hAnsi="Times New Roman" w:eastAsia="宋体" w:cs="Times New Roman"/>
          <w:sz w:val="24"/>
          <w:highlight w:val="none"/>
          <w:lang w:eastAsia="zh-CN"/>
        </w:rPr>
        <w:t>八</w:t>
      </w:r>
      <w:r>
        <w:rPr>
          <w:rFonts w:hint="default" w:ascii="Times New Roman" w:hAnsi="Times New Roman" w:eastAsia="宋体" w:cs="Times New Roman"/>
          <w:sz w:val="24"/>
          <w:highlight w:val="none"/>
        </w:rPr>
        <w:t>验收监测结论及意见</w:t>
      </w:r>
      <w:bookmarkEnd w:id="20"/>
    </w:p>
    <w:tbl>
      <w:tblPr>
        <w:tblStyle w:val="23"/>
        <w:tblW w:w="8700"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700"/>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2433" w:hRule="atLeast"/>
        </w:trPr>
        <w:tc>
          <w:tcPr>
            <w:tcW w:w="8700" w:type="dxa"/>
          </w:tcPr>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一、结论</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1.1、</w:t>
            </w:r>
            <w:r>
              <w:rPr>
                <w:rFonts w:hint="default" w:ascii="Times New Roman" w:hAnsi="Times New Roman" w:eastAsia="宋体" w:cs="Times New Roman"/>
                <w:b/>
                <w:bCs/>
                <w:color w:val="auto"/>
                <w:sz w:val="24"/>
                <w:szCs w:val="24"/>
                <w:highlight w:val="none"/>
                <w:lang w:eastAsia="zh-CN"/>
              </w:rPr>
              <w:t>工程内容</w:t>
            </w:r>
          </w:p>
          <w:p>
            <w:pPr>
              <w:spacing w:line="360" w:lineRule="auto"/>
              <w:ind w:firstLine="482" w:firstLineChars="200"/>
              <w:contextualSpacing/>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本次验收范围为已建成的</w:t>
            </w:r>
            <w:r>
              <w:rPr>
                <w:rFonts w:hint="eastAsia" w:ascii="Times New Roman" w:hAnsi="Times New Roman" w:eastAsia="宋体" w:cs="Times New Roman"/>
                <w:b/>
                <w:bCs/>
                <w:color w:val="auto"/>
                <w:sz w:val="24"/>
                <w:szCs w:val="24"/>
                <w:highlight w:val="none"/>
                <w:lang w:val="en-US" w:eastAsia="zh-CN"/>
              </w:rPr>
              <w:t>年产100</w:t>
            </w:r>
            <w:r>
              <w:rPr>
                <w:rFonts w:hint="default" w:ascii="Times New Roman" w:hAnsi="Times New Roman" w:eastAsia="宋体" w:cs="Times New Roman"/>
                <w:b/>
                <w:bCs/>
                <w:color w:val="auto"/>
                <w:sz w:val="24"/>
                <w:szCs w:val="24"/>
                <w:highlight w:val="none"/>
                <w:lang w:val="en-US" w:eastAsia="zh-CN"/>
              </w:rPr>
              <w:t>万m</w:t>
            </w:r>
            <w:r>
              <w:rPr>
                <w:rFonts w:hint="default" w:ascii="Times New Roman" w:hAnsi="Times New Roman" w:eastAsia="宋体" w:cs="Times New Roman"/>
                <w:b/>
                <w:bCs/>
                <w:color w:val="auto"/>
                <w:sz w:val="24"/>
                <w:szCs w:val="24"/>
                <w:highlight w:val="none"/>
                <w:vertAlign w:val="superscript"/>
                <w:lang w:val="en-US" w:eastAsia="zh-CN"/>
              </w:rPr>
              <w:t>2</w:t>
            </w:r>
            <w:r>
              <w:rPr>
                <w:rFonts w:hint="eastAsia" w:ascii="Times New Roman" w:hAnsi="Times New Roman" w:eastAsia="宋体" w:cs="Times New Roman"/>
                <w:b/>
                <w:bCs/>
                <w:color w:val="auto"/>
                <w:sz w:val="24"/>
                <w:szCs w:val="24"/>
                <w:highlight w:val="none"/>
                <w:lang w:val="en-US" w:eastAsia="zh-CN"/>
              </w:rPr>
              <w:t>复合免拆保温模板</w:t>
            </w:r>
            <w:r>
              <w:rPr>
                <w:rFonts w:hint="default" w:ascii="Times New Roman" w:hAnsi="Times New Roman" w:eastAsia="宋体" w:cs="Times New Roman"/>
                <w:b/>
                <w:bCs/>
                <w:color w:val="auto"/>
                <w:sz w:val="24"/>
                <w:szCs w:val="24"/>
                <w:highlight w:val="none"/>
                <w:lang w:val="en-US" w:eastAsia="zh-CN"/>
              </w:rPr>
              <w:t>、</w:t>
            </w:r>
            <w:r>
              <w:rPr>
                <w:rFonts w:hint="eastAsia" w:ascii="Times New Roman" w:hAnsi="Times New Roman" w:eastAsia="宋体" w:cs="Times New Roman"/>
                <w:b/>
                <w:bCs/>
                <w:color w:val="auto"/>
                <w:sz w:val="24"/>
                <w:szCs w:val="24"/>
                <w:highlight w:val="none"/>
                <w:lang w:val="en-US" w:eastAsia="zh-CN"/>
              </w:rPr>
              <w:t>100</w:t>
            </w:r>
            <w:r>
              <w:rPr>
                <w:rFonts w:hint="default" w:ascii="Times New Roman" w:hAnsi="Times New Roman" w:eastAsia="宋体" w:cs="Times New Roman"/>
                <w:b/>
                <w:bCs/>
                <w:color w:val="auto"/>
                <w:sz w:val="24"/>
                <w:szCs w:val="24"/>
                <w:highlight w:val="none"/>
                <w:lang w:val="en-US" w:eastAsia="zh-CN"/>
              </w:rPr>
              <w:t>万m</w:t>
            </w:r>
            <w:r>
              <w:rPr>
                <w:rFonts w:hint="default" w:ascii="Times New Roman" w:hAnsi="Times New Roman" w:eastAsia="宋体" w:cs="Times New Roman"/>
                <w:b/>
                <w:bCs/>
                <w:color w:val="auto"/>
                <w:sz w:val="24"/>
                <w:szCs w:val="24"/>
                <w:highlight w:val="none"/>
                <w:vertAlign w:val="superscript"/>
                <w:lang w:val="en-US" w:eastAsia="zh-CN"/>
              </w:rPr>
              <w:t>2</w:t>
            </w:r>
            <w:r>
              <w:rPr>
                <w:rFonts w:hint="default" w:ascii="Times New Roman" w:hAnsi="Times New Roman" w:eastAsia="宋体" w:cs="Times New Roman"/>
                <w:b/>
                <w:bCs/>
                <w:color w:val="auto"/>
                <w:sz w:val="24"/>
                <w:szCs w:val="24"/>
                <w:highlight w:val="none"/>
                <w:lang w:val="en-US" w:eastAsia="zh-CN"/>
              </w:rPr>
              <w:t>叠合楼板、PC构件</w:t>
            </w:r>
            <w:r>
              <w:rPr>
                <w:rFonts w:hint="eastAsia"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lang w:val="en-US" w:eastAsia="zh-CN"/>
              </w:rPr>
              <w:t>万m</w:t>
            </w:r>
            <w:r>
              <w:rPr>
                <w:rFonts w:hint="eastAsia" w:ascii="Times New Roman" w:hAnsi="Times New Roman" w:eastAsia="宋体" w:cs="Times New Roman"/>
                <w:b/>
                <w:bCs/>
                <w:color w:val="auto"/>
                <w:sz w:val="24"/>
                <w:szCs w:val="24"/>
                <w:highlight w:val="none"/>
                <w:vertAlign w:val="superscript"/>
                <w:lang w:val="en-US" w:eastAsia="zh-CN"/>
              </w:rPr>
              <w:t>3</w:t>
            </w:r>
            <w:r>
              <w:rPr>
                <w:rFonts w:hint="default" w:ascii="Times New Roman" w:hAnsi="Times New Roman" w:eastAsia="宋体" w:cs="Times New Roman"/>
                <w:b/>
                <w:bCs/>
                <w:color w:val="auto"/>
                <w:sz w:val="24"/>
                <w:szCs w:val="24"/>
                <w:highlight w:val="none"/>
                <w:lang w:val="en-US" w:eastAsia="zh-CN"/>
              </w:rPr>
              <w:t>、商品混凝土</w:t>
            </w:r>
            <w:r>
              <w:rPr>
                <w:rFonts w:hint="eastAsia" w:ascii="Times New Roman" w:hAnsi="Times New Roman" w:eastAsia="宋体" w:cs="Times New Roman"/>
                <w:b/>
                <w:bCs/>
                <w:color w:val="auto"/>
                <w:sz w:val="24"/>
                <w:szCs w:val="24"/>
                <w:highlight w:val="none"/>
                <w:lang w:val="en-US" w:eastAsia="zh-CN"/>
              </w:rPr>
              <w:t>95</w:t>
            </w:r>
            <w:r>
              <w:rPr>
                <w:rFonts w:hint="default" w:ascii="Times New Roman" w:hAnsi="Times New Roman" w:eastAsia="宋体" w:cs="Times New Roman"/>
                <w:b/>
                <w:bCs/>
                <w:color w:val="auto"/>
                <w:sz w:val="24"/>
                <w:szCs w:val="24"/>
                <w:highlight w:val="none"/>
                <w:lang w:val="en-US" w:eastAsia="zh-CN"/>
              </w:rPr>
              <w:t>万m</w:t>
            </w:r>
            <w:r>
              <w:rPr>
                <w:rFonts w:hint="default" w:ascii="Times New Roman" w:hAnsi="Times New Roman" w:eastAsia="宋体" w:cs="Times New Roman"/>
                <w:b/>
                <w:bCs/>
                <w:color w:val="auto"/>
                <w:sz w:val="24"/>
                <w:szCs w:val="24"/>
                <w:highlight w:val="none"/>
                <w:vertAlign w:val="superscript"/>
                <w:lang w:val="en-US" w:eastAsia="zh-CN"/>
              </w:rPr>
              <w:t>3</w:t>
            </w:r>
            <w:r>
              <w:rPr>
                <w:rFonts w:hint="default" w:ascii="Times New Roman" w:hAnsi="Times New Roman" w:eastAsia="宋体" w:cs="Times New Roman"/>
                <w:b/>
                <w:bCs/>
                <w:color w:val="auto"/>
                <w:sz w:val="24"/>
                <w:szCs w:val="24"/>
                <w:highlight w:val="none"/>
                <w:lang w:val="en-US" w:eastAsia="zh-CN"/>
              </w:rPr>
              <w:t>及配套的环保设施。</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1.2、</w:t>
            </w:r>
            <w:r>
              <w:rPr>
                <w:rFonts w:hint="default" w:ascii="Times New Roman" w:hAnsi="Times New Roman" w:eastAsia="宋体" w:cs="Times New Roman"/>
                <w:b/>
                <w:bCs/>
                <w:color w:val="auto"/>
                <w:sz w:val="24"/>
                <w:szCs w:val="24"/>
                <w:highlight w:val="none"/>
                <w:lang w:eastAsia="zh-CN"/>
              </w:rPr>
              <w:t>工程变动情况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kern w:val="0"/>
                <w:sz w:val="24"/>
                <w:szCs w:val="24"/>
                <w:highlight w:val="none"/>
                <w:shd w:val="clear" w:color="auto" w:fill="FFFFFF"/>
                <w:lang w:val="en-US" w:eastAsia="zh-CN" w:bidi="ar-SA"/>
              </w:rPr>
            </w:pPr>
            <w:r>
              <w:rPr>
                <w:rFonts w:hint="default" w:ascii="Times New Roman" w:hAnsi="Times New Roman" w:eastAsia="宋体" w:cs="Times New Roman"/>
                <w:b w:val="0"/>
                <w:color w:val="auto"/>
                <w:kern w:val="0"/>
                <w:sz w:val="24"/>
                <w:szCs w:val="24"/>
                <w:shd w:val="clear" w:color="auto" w:fill="FFFFFF"/>
                <w:lang w:val="en-US" w:eastAsia="zh-CN" w:bidi="ar-SA"/>
              </w:rPr>
              <w:t>对照本项目的环评报告表，将本工程实际建设内容与环评阶段内容进行逐一对比分析，建设项目的地点、性质、工艺防治污染、防止生态破坏的措施均未发生重大变动，其中建设规模发生变动。具体变动如下：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kern w:val="0"/>
                <w:sz w:val="24"/>
                <w:szCs w:val="24"/>
                <w:highlight w:val="none"/>
                <w:shd w:val="clear" w:color="auto" w:fill="FFFFFF"/>
                <w:lang w:val="en-US" w:eastAsia="zh-CN" w:bidi="ar-SA"/>
              </w:rPr>
              <w:t>本项目变动前环评设计：</w:t>
            </w:r>
            <w:r>
              <w:rPr>
                <w:rFonts w:hint="default" w:ascii="Times New Roman" w:hAnsi="Times New Roman" w:eastAsia="宋体" w:cs="Times New Roman"/>
                <w:b w:val="0"/>
                <w:bCs w:val="0"/>
                <w:kern w:val="0"/>
                <w:sz w:val="24"/>
                <w:szCs w:val="24"/>
                <w:highlight w:val="none"/>
                <w:shd w:val="clear" w:color="auto" w:fill="FFFFFF"/>
                <w:lang w:val="en-US" w:eastAsia="zh-CN" w:bidi="ar-SA"/>
              </w:rPr>
              <w:t>建成</w:t>
            </w:r>
            <w:r>
              <w:rPr>
                <w:rFonts w:hint="eastAsia"/>
                <w:color w:val="auto"/>
                <w:sz w:val="24"/>
                <w:highlight w:val="none"/>
                <w:lang w:val="en-US" w:eastAsia="zh-CN"/>
              </w:rPr>
              <w:t>年产100</w:t>
            </w:r>
            <w:r>
              <w:rPr>
                <w:color w:val="auto"/>
                <w:sz w:val="24"/>
                <w:highlight w:val="none"/>
              </w:rPr>
              <w:t>万m</w:t>
            </w:r>
            <w:r>
              <w:rPr>
                <w:color w:val="auto"/>
                <w:sz w:val="24"/>
                <w:highlight w:val="none"/>
                <w:vertAlign w:val="superscript"/>
              </w:rPr>
              <w:t>2</w:t>
            </w:r>
            <w:r>
              <w:rPr>
                <w:rFonts w:hint="eastAsia"/>
                <w:color w:val="auto"/>
                <w:sz w:val="24"/>
                <w:highlight w:val="none"/>
              </w:rPr>
              <w:t>复合免拆保温模板</w:t>
            </w:r>
            <w:r>
              <w:rPr>
                <w:color w:val="auto"/>
                <w:sz w:val="24"/>
                <w:highlight w:val="none"/>
              </w:rPr>
              <w:t>、</w:t>
            </w:r>
            <w:r>
              <w:rPr>
                <w:rFonts w:hint="eastAsia"/>
                <w:color w:val="auto"/>
                <w:sz w:val="24"/>
                <w:highlight w:val="none"/>
                <w:lang w:val="en-US" w:eastAsia="zh-CN"/>
              </w:rPr>
              <w:t>100</w:t>
            </w:r>
            <w:r>
              <w:rPr>
                <w:color w:val="auto"/>
                <w:sz w:val="24"/>
                <w:highlight w:val="none"/>
              </w:rPr>
              <w:t>万m</w:t>
            </w:r>
            <w:r>
              <w:rPr>
                <w:color w:val="auto"/>
                <w:sz w:val="24"/>
                <w:highlight w:val="none"/>
                <w:vertAlign w:val="superscript"/>
              </w:rPr>
              <w:t>2</w:t>
            </w:r>
            <w:r>
              <w:rPr>
                <w:color w:val="auto"/>
                <w:sz w:val="24"/>
                <w:highlight w:val="none"/>
              </w:rPr>
              <w:t>叠合楼板、PC构件</w:t>
            </w:r>
            <w:r>
              <w:rPr>
                <w:rFonts w:hint="eastAsia"/>
                <w:color w:val="auto"/>
                <w:sz w:val="24"/>
                <w:highlight w:val="none"/>
                <w:lang w:val="en-US" w:eastAsia="zh-CN"/>
              </w:rPr>
              <w:t>5</w:t>
            </w:r>
            <w:r>
              <w:rPr>
                <w:color w:val="auto"/>
                <w:sz w:val="24"/>
                <w:highlight w:val="none"/>
              </w:rPr>
              <w:t>万m</w:t>
            </w:r>
            <w:r>
              <w:rPr>
                <w:rFonts w:hint="eastAsia"/>
                <w:color w:val="auto"/>
                <w:sz w:val="24"/>
                <w:highlight w:val="none"/>
                <w:vertAlign w:val="superscript"/>
              </w:rPr>
              <w:t>3</w:t>
            </w:r>
            <w:r>
              <w:rPr>
                <w:color w:val="auto"/>
                <w:sz w:val="24"/>
                <w:highlight w:val="none"/>
              </w:rPr>
              <w:t>、商品混凝土</w:t>
            </w:r>
            <w:r>
              <w:rPr>
                <w:rFonts w:hint="eastAsia"/>
                <w:color w:val="auto"/>
                <w:sz w:val="24"/>
                <w:highlight w:val="none"/>
                <w:lang w:val="en-US" w:eastAsia="zh-CN"/>
              </w:rPr>
              <w:t>95</w:t>
            </w:r>
            <w:r>
              <w:rPr>
                <w:color w:val="auto"/>
                <w:sz w:val="24"/>
                <w:highlight w:val="none"/>
              </w:rPr>
              <w:t>万m</w:t>
            </w:r>
            <w:r>
              <w:rPr>
                <w:color w:val="auto"/>
                <w:sz w:val="24"/>
                <w:highlight w:val="none"/>
                <w:vertAlign w:val="superscript"/>
              </w:rPr>
              <w:t>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olor w:val="auto"/>
                <w:sz w:val="24"/>
                <w:highlight w:val="none"/>
                <w:vertAlign w:val="baseline"/>
                <w:lang w:val="en-US" w:eastAsia="zh-CN"/>
              </w:rPr>
              <w:t>新增1座危废暂存间（10m</w:t>
            </w:r>
            <w:r>
              <w:rPr>
                <w:rFonts w:hint="eastAsia"/>
                <w:color w:val="auto"/>
                <w:sz w:val="24"/>
                <w:highlight w:val="none"/>
                <w:vertAlign w:val="superscript"/>
                <w:lang w:val="en-US" w:eastAsia="zh-CN"/>
              </w:rPr>
              <w:t>2</w:t>
            </w:r>
            <w:r>
              <w:rPr>
                <w:rFonts w:hint="eastAsia"/>
                <w:color w:val="auto"/>
                <w:sz w:val="24"/>
                <w:highlight w:val="none"/>
                <w:vertAlign w:val="baseline"/>
                <w:lang w:val="en-US" w:eastAsia="zh-CN"/>
              </w:rPr>
              <w:t>），2台4t/h的天然气锅炉，</w:t>
            </w:r>
            <w:r>
              <w:rPr>
                <w:rFonts w:hint="eastAsia" w:ascii="Times New Roman" w:hAnsi="Times New Roman" w:eastAsia="宋体" w:cs="Times New Roman"/>
                <w:color w:val="auto"/>
                <w:sz w:val="24"/>
                <w:highlight w:val="none"/>
              </w:rPr>
              <w:t>用于蒸汽养护</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Times New Roman" w:hAnsi="Times New Roman" w:eastAsia="宋体" w:cs="Times New Roman"/>
                <w:b/>
                <w:bCs/>
                <w:kern w:val="0"/>
                <w:sz w:val="24"/>
                <w:szCs w:val="24"/>
                <w:highlight w:val="none"/>
                <w:shd w:val="clear" w:color="auto" w:fill="FFFFFF"/>
                <w:lang w:val="en-US" w:eastAsia="zh-CN" w:bidi="ar-SA"/>
              </w:rPr>
            </w:pPr>
            <w:r>
              <w:rPr>
                <w:rFonts w:hint="default" w:ascii="Times New Roman" w:hAnsi="Times New Roman" w:eastAsia="宋体" w:cs="Times New Roman"/>
                <w:b/>
                <w:bCs/>
                <w:kern w:val="0"/>
                <w:sz w:val="24"/>
                <w:szCs w:val="24"/>
                <w:highlight w:val="none"/>
                <w:shd w:val="clear" w:color="auto" w:fill="FFFFFF"/>
                <w:lang w:val="en-US" w:eastAsia="zh-CN" w:bidi="ar-SA"/>
              </w:rPr>
              <w:t>本项目变动后实际情况：</w:t>
            </w:r>
            <w:r>
              <w:rPr>
                <w:rFonts w:hint="default" w:ascii="Times New Roman" w:hAnsi="Times New Roman" w:eastAsia="宋体" w:cs="Times New Roman"/>
                <w:b w:val="0"/>
                <w:bCs w:val="0"/>
                <w:kern w:val="0"/>
                <w:sz w:val="24"/>
                <w:szCs w:val="24"/>
                <w:highlight w:val="none"/>
                <w:shd w:val="clear" w:color="auto" w:fill="FFFFFF"/>
                <w:lang w:val="en-US" w:eastAsia="zh-CN" w:bidi="ar-SA"/>
              </w:rPr>
              <w:t>建成</w:t>
            </w:r>
            <w:r>
              <w:rPr>
                <w:rFonts w:hint="eastAsia"/>
                <w:color w:val="auto"/>
                <w:sz w:val="24"/>
                <w:highlight w:val="none"/>
                <w:lang w:val="en-US" w:eastAsia="zh-CN"/>
              </w:rPr>
              <w:t>年产100</w:t>
            </w:r>
            <w:r>
              <w:rPr>
                <w:color w:val="auto"/>
                <w:sz w:val="24"/>
                <w:highlight w:val="none"/>
              </w:rPr>
              <w:t>万m</w:t>
            </w:r>
            <w:r>
              <w:rPr>
                <w:color w:val="auto"/>
                <w:sz w:val="24"/>
                <w:highlight w:val="none"/>
                <w:vertAlign w:val="superscript"/>
              </w:rPr>
              <w:t>2</w:t>
            </w:r>
            <w:r>
              <w:rPr>
                <w:rFonts w:hint="eastAsia"/>
                <w:color w:val="auto"/>
                <w:sz w:val="24"/>
                <w:highlight w:val="none"/>
              </w:rPr>
              <w:t>复合免拆保温模板</w:t>
            </w:r>
            <w:r>
              <w:rPr>
                <w:color w:val="auto"/>
                <w:sz w:val="24"/>
                <w:highlight w:val="none"/>
              </w:rPr>
              <w:t>、</w:t>
            </w:r>
            <w:r>
              <w:rPr>
                <w:rFonts w:hint="eastAsia"/>
                <w:color w:val="auto"/>
                <w:sz w:val="24"/>
                <w:highlight w:val="none"/>
                <w:lang w:val="en-US" w:eastAsia="zh-CN"/>
              </w:rPr>
              <w:t>100</w:t>
            </w:r>
            <w:r>
              <w:rPr>
                <w:color w:val="auto"/>
                <w:sz w:val="24"/>
                <w:highlight w:val="none"/>
              </w:rPr>
              <w:t>万m</w:t>
            </w:r>
            <w:r>
              <w:rPr>
                <w:color w:val="auto"/>
                <w:sz w:val="24"/>
                <w:highlight w:val="none"/>
                <w:vertAlign w:val="superscript"/>
              </w:rPr>
              <w:t>2</w:t>
            </w:r>
            <w:r>
              <w:rPr>
                <w:color w:val="auto"/>
                <w:sz w:val="24"/>
                <w:highlight w:val="none"/>
              </w:rPr>
              <w:t>叠合楼板、PC构件</w:t>
            </w:r>
            <w:r>
              <w:rPr>
                <w:rFonts w:hint="eastAsia"/>
                <w:color w:val="auto"/>
                <w:sz w:val="24"/>
                <w:highlight w:val="none"/>
                <w:lang w:val="en-US" w:eastAsia="zh-CN"/>
              </w:rPr>
              <w:t>5</w:t>
            </w:r>
            <w:r>
              <w:rPr>
                <w:color w:val="auto"/>
                <w:sz w:val="24"/>
                <w:highlight w:val="none"/>
              </w:rPr>
              <w:t>万m</w:t>
            </w:r>
            <w:r>
              <w:rPr>
                <w:rFonts w:hint="eastAsia"/>
                <w:color w:val="auto"/>
                <w:sz w:val="24"/>
                <w:highlight w:val="none"/>
                <w:vertAlign w:val="superscript"/>
              </w:rPr>
              <w:t>3</w:t>
            </w:r>
            <w:r>
              <w:rPr>
                <w:color w:val="auto"/>
                <w:sz w:val="24"/>
                <w:highlight w:val="none"/>
              </w:rPr>
              <w:t>、商品混凝土</w:t>
            </w:r>
            <w:r>
              <w:rPr>
                <w:rFonts w:hint="eastAsia"/>
                <w:color w:val="auto"/>
                <w:sz w:val="24"/>
                <w:highlight w:val="none"/>
                <w:lang w:val="en-US" w:eastAsia="zh-CN"/>
              </w:rPr>
              <w:t>95</w:t>
            </w:r>
            <w:r>
              <w:rPr>
                <w:color w:val="auto"/>
                <w:sz w:val="24"/>
                <w:highlight w:val="none"/>
              </w:rPr>
              <w:t>万m</w:t>
            </w:r>
            <w:r>
              <w:rPr>
                <w:color w:val="auto"/>
                <w:sz w:val="24"/>
                <w:highlight w:val="none"/>
                <w:vertAlign w:val="superscript"/>
              </w:rPr>
              <w:t>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olor w:val="auto"/>
                <w:sz w:val="24"/>
                <w:highlight w:val="none"/>
                <w:vertAlign w:val="baseline"/>
                <w:lang w:val="en-US" w:eastAsia="zh-CN"/>
              </w:rPr>
              <w:t>新增1座危废暂存间（10m</w:t>
            </w:r>
            <w:r>
              <w:rPr>
                <w:rFonts w:hint="eastAsia"/>
                <w:color w:val="auto"/>
                <w:sz w:val="24"/>
                <w:highlight w:val="none"/>
                <w:vertAlign w:val="superscript"/>
                <w:lang w:val="en-US" w:eastAsia="zh-CN"/>
              </w:rPr>
              <w:t>2</w:t>
            </w:r>
            <w:r>
              <w:rPr>
                <w:rFonts w:hint="eastAsia"/>
                <w:color w:val="auto"/>
                <w:sz w:val="24"/>
                <w:highlight w:val="none"/>
                <w:vertAlign w:val="baseline"/>
                <w:lang w:val="en-US" w:eastAsia="zh-CN"/>
              </w:rPr>
              <w:t>）</w:t>
            </w:r>
            <w:r>
              <w:rPr>
                <w:rFonts w:hint="eastAsia" w:ascii="Times New Roman" w:hAnsi="Times New Roman" w:eastAsia="宋体" w:cs="Times New Roman"/>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bCs/>
                <w:kern w:val="0"/>
                <w:sz w:val="24"/>
                <w:szCs w:val="24"/>
                <w:highlight w:val="none"/>
                <w:shd w:val="clear" w:color="auto" w:fill="FFFFFF"/>
                <w:lang w:val="en-US" w:eastAsia="zh-CN" w:bidi="ar-SA"/>
              </w:rPr>
            </w:pPr>
            <w:r>
              <w:rPr>
                <w:rFonts w:hint="default" w:ascii="Times New Roman" w:hAnsi="Times New Roman" w:eastAsia="宋体" w:cs="Times New Roman"/>
                <w:b w:val="0"/>
                <w:color w:val="auto"/>
                <w:kern w:val="0"/>
                <w:sz w:val="24"/>
                <w:szCs w:val="24"/>
                <w:shd w:val="clear" w:color="auto" w:fill="FFFFFF"/>
                <w:lang w:val="en-US" w:eastAsia="zh-CN" w:bidi="ar-SA"/>
              </w:rPr>
              <w:t>对比《关于印发环评管理中部分行业建设项目重大变动清单的通知》（环办</w:t>
            </w:r>
            <w:r>
              <w:rPr>
                <w:rFonts w:hint="eastAsia" w:ascii="Times New Roman" w:hAnsi="Times New Roman" w:eastAsia="宋体" w:cs="Times New Roman"/>
                <w:b w:val="0"/>
                <w:color w:val="auto"/>
                <w:kern w:val="0"/>
                <w:sz w:val="24"/>
                <w:szCs w:val="24"/>
                <w:shd w:val="clear" w:color="auto" w:fill="FFFFFF"/>
                <w:lang w:val="en-US" w:eastAsia="zh-CN" w:bidi="ar-SA"/>
              </w:rPr>
              <w:t>〔</w:t>
            </w:r>
            <w:r>
              <w:rPr>
                <w:rFonts w:hint="default" w:ascii="Times New Roman" w:hAnsi="Times New Roman" w:eastAsia="宋体" w:cs="Times New Roman"/>
                <w:b w:val="0"/>
                <w:color w:val="auto"/>
                <w:kern w:val="0"/>
                <w:sz w:val="24"/>
                <w:szCs w:val="24"/>
                <w:shd w:val="clear" w:color="auto" w:fill="FFFFFF"/>
                <w:lang w:val="en-US" w:eastAsia="zh-CN" w:bidi="ar-SA"/>
              </w:rPr>
              <w:t>2015</w:t>
            </w:r>
            <w:r>
              <w:rPr>
                <w:rFonts w:hint="eastAsia" w:ascii="Times New Roman" w:hAnsi="Times New Roman" w:eastAsia="宋体" w:cs="Times New Roman"/>
                <w:b w:val="0"/>
                <w:color w:val="auto"/>
                <w:kern w:val="0"/>
                <w:sz w:val="24"/>
                <w:szCs w:val="24"/>
                <w:shd w:val="clear" w:color="auto" w:fill="FFFFFF"/>
                <w:lang w:val="en-US" w:eastAsia="zh-CN" w:bidi="ar-SA"/>
              </w:rPr>
              <w:t>〕</w:t>
            </w:r>
            <w:r>
              <w:rPr>
                <w:rFonts w:hint="default" w:ascii="Times New Roman" w:hAnsi="Times New Roman" w:eastAsia="宋体" w:cs="Times New Roman"/>
                <w:b w:val="0"/>
                <w:color w:val="auto"/>
                <w:kern w:val="0"/>
                <w:sz w:val="24"/>
                <w:szCs w:val="24"/>
                <w:shd w:val="clear" w:color="auto" w:fill="FFFFFF"/>
                <w:lang w:val="en-US" w:eastAsia="zh-CN" w:bidi="ar-SA"/>
              </w:rPr>
              <w:t>52号）、关于印发《污染影响建设项目重大变动清单（试行的通知）》（环办环评函〔2020〕688号，生态环境部办公厅）以及</w:t>
            </w:r>
            <w:r>
              <w:rPr>
                <w:rFonts w:hint="eastAsia" w:cs="Times New Roman"/>
                <w:b w:val="0"/>
                <w:color w:val="auto"/>
                <w:kern w:val="0"/>
                <w:sz w:val="24"/>
                <w:szCs w:val="24"/>
                <w:shd w:val="clear" w:color="auto" w:fill="FFFFFF"/>
                <w:lang w:val="en-US" w:eastAsia="zh-CN" w:bidi="ar-SA"/>
              </w:rPr>
              <w:t>《</w:t>
            </w:r>
            <w:r>
              <w:rPr>
                <w:rFonts w:hint="default" w:ascii="Times New Roman" w:hAnsi="Times New Roman" w:eastAsia="宋体" w:cs="Times New Roman"/>
                <w:b w:val="0"/>
                <w:color w:val="auto"/>
                <w:kern w:val="0"/>
                <w:sz w:val="24"/>
                <w:szCs w:val="24"/>
                <w:shd w:val="clear" w:color="auto" w:fill="FFFFFF"/>
                <w:lang w:val="en-US" w:eastAsia="zh-CN" w:bidi="ar-SA"/>
              </w:rPr>
              <w:t>关于印发新疆维吾尔自治区环境影响评价管理中建设项目重大变动界定程序规定的通知（新环环评发</w:t>
            </w:r>
            <w:r>
              <w:rPr>
                <w:rFonts w:hint="eastAsia" w:ascii="Times New Roman" w:hAnsi="Times New Roman" w:eastAsia="宋体" w:cs="Times New Roman"/>
                <w:b w:val="0"/>
                <w:color w:val="auto"/>
                <w:kern w:val="0"/>
                <w:sz w:val="24"/>
                <w:szCs w:val="24"/>
                <w:shd w:val="clear" w:color="auto" w:fill="FFFFFF"/>
                <w:lang w:val="en-US" w:eastAsia="zh-CN" w:bidi="ar-SA"/>
              </w:rPr>
              <w:t>〔</w:t>
            </w:r>
            <w:r>
              <w:rPr>
                <w:rFonts w:hint="default" w:ascii="Times New Roman" w:hAnsi="Times New Roman" w:eastAsia="宋体" w:cs="Times New Roman"/>
                <w:b w:val="0"/>
                <w:color w:val="auto"/>
                <w:kern w:val="0"/>
                <w:sz w:val="24"/>
                <w:szCs w:val="24"/>
                <w:shd w:val="clear" w:color="auto" w:fill="FFFFFF"/>
                <w:lang w:val="en-US" w:eastAsia="zh-CN" w:bidi="ar-SA"/>
              </w:rPr>
              <w:t>2019</w:t>
            </w:r>
            <w:r>
              <w:rPr>
                <w:rFonts w:hint="eastAsia" w:ascii="Times New Roman" w:hAnsi="Times New Roman" w:eastAsia="宋体" w:cs="Times New Roman"/>
                <w:b w:val="0"/>
                <w:color w:val="auto"/>
                <w:kern w:val="0"/>
                <w:sz w:val="24"/>
                <w:szCs w:val="24"/>
                <w:shd w:val="clear" w:color="auto" w:fill="FFFFFF"/>
                <w:lang w:val="en-US" w:eastAsia="zh-CN" w:bidi="ar-SA"/>
              </w:rPr>
              <w:t>〕</w:t>
            </w:r>
            <w:r>
              <w:rPr>
                <w:rFonts w:hint="default" w:ascii="Times New Roman" w:hAnsi="Times New Roman" w:eastAsia="宋体" w:cs="Times New Roman"/>
                <w:b w:val="0"/>
                <w:color w:val="auto"/>
                <w:kern w:val="0"/>
                <w:sz w:val="24"/>
                <w:szCs w:val="24"/>
                <w:shd w:val="clear" w:color="auto" w:fill="FFFFFF"/>
                <w:lang w:val="en-US" w:eastAsia="zh-CN" w:bidi="ar-SA"/>
              </w:rPr>
              <w:t>140号）文件，项目的性质、规模、地点、工艺、防治污染、防止生态破坏的措施未发生重大变动。</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outlineLvl w:val="9"/>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1.3、</w:t>
            </w:r>
            <w:r>
              <w:rPr>
                <w:rFonts w:hint="default" w:ascii="Times New Roman" w:hAnsi="Times New Roman" w:eastAsia="宋体" w:cs="Times New Roman"/>
                <w:b/>
                <w:bCs/>
                <w:color w:val="auto"/>
                <w:sz w:val="24"/>
                <w:szCs w:val="24"/>
                <w:highlight w:val="none"/>
                <w:lang w:eastAsia="zh-CN"/>
              </w:rPr>
              <w:t>环境保护设施落实情况</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建设单位严格按照环评及批复要求，配套建设了废气、废水、噪声、固体废物污染防治设施。</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1.4、</w:t>
            </w:r>
            <w:r>
              <w:rPr>
                <w:rFonts w:hint="default" w:ascii="Times New Roman" w:hAnsi="Times New Roman" w:eastAsia="宋体" w:cs="Times New Roman"/>
                <w:b/>
                <w:bCs/>
                <w:color w:val="auto"/>
                <w:sz w:val="24"/>
                <w:szCs w:val="24"/>
                <w:highlight w:val="none"/>
                <w:lang w:eastAsia="zh-CN"/>
              </w:rPr>
              <w:t>环境保护设施调试效果</w:t>
            </w:r>
          </w:p>
          <w:p>
            <w:pPr>
              <w:pStyle w:val="6"/>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通过资料调查、现场检查及环境监测，项目环保设施调试效果如下：</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废气</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项目区有专人负责严格落实各项大气污染防治措施，严格</w:t>
            </w:r>
            <w:r>
              <w:rPr>
                <w:rFonts w:hint="eastAsia" w:ascii="Times New Roman" w:hAnsi="Times New Roman" w:eastAsia="宋体" w:cs="Times New Roman"/>
                <w:sz w:val="24"/>
                <w:szCs w:val="24"/>
                <w:lang w:val="en-US" w:eastAsia="zh-CN"/>
              </w:rPr>
              <w:t>工艺</w:t>
            </w:r>
            <w:r>
              <w:rPr>
                <w:rFonts w:hint="default" w:ascii="Times New Roman" w:hAnsi="Times New Roman" w:eastAsia="宋体" w:cs="Times New Roman"/>
                <w:sz w:val="24"/>
                <w:szCs w:val="24"/>
                <w:lang w:val="en-US" w:eastAsia="zh-CN"/>
              </w:rPr>
              <w:t>操作流程和</w:t>
            </w:r>
            <w:r>
              <w:rPr>
                <w:rFonts w:hint="eastAsia" w:ascii="Times New Roman" w:hAnsi="Times New Roman" w:eastAsia="宋体" w:cs="Times New Roman"/>
                <w:sz w:val="24"/>
                <w:szCs w:val="24"/>
                <w:lang w:val="en-US" w:eastAsia="zh-CN"/>
              </w:rPr>
              <w:t>环保</w:t>
            </w:r>
            <w:r>
              <w:rPr>
                <w:rFonts w:hint="default" w:ascii="Times New Roman" w:hAnsi="Times New Roman" w:eastAsia="宋体" w:cs="Times New Roman"/>
                <w:sz w:val="24"/>
                <w:szCs w:val="24"/>
                <w:lang w:val="en-US" w:eastAsia="zh-CN"/>
              </w:rPr>
              <w:t>要求，减少</w:t>
            </w:r>
            <w:r>
              <w:rPr>
                <w:rFonts w:hint="eastAsia" w:ascii="Times New Roman" w:hAnsi="Times New Roman" w:eastAsia="宋体" w:cs="Times New Roman"/>
                <w:sz w:val="24"/>
                <w:szCs w:val="24"/>
                <w:lang w:val="en-US" w:eastAsia="zh-CN"/>
              </w:rPr>
              <w:t>粉尘</w:t>
            </w:r>
            <w:r>
              <w:rPr>
                <w:rFonts w:hint="default" w:ascii="Times New Roman" w:hAnsi="Times New Roman" w:eastAsia="宋体" w:cs="Times New Roman"/>
                <w:sz w:val="24"/>
                <w:szCs w:val="24"/>
                <w:lang w:val="en-US" w:eastAsia="zh-CN"/>
              </w:rPr>
              <w:t>无组织排放。</w:t>
            </w:r>
            <w:r>
              <w:rPr>
                <w:rFonts w:hint="eastAsia" w:ascii="Times New Roman" w:hAnsi="Times New Roman" w:eastAsia="宋体" w:cs="Times New Roman"/>
                <w:sz w:val="24"/>
                <w:szCs w:val="24"/>
                <w:lang w:val="en-US" w:eastAsia="zh-CN"/>
              </w:rPr>
              <w:t>由监测结果可知，厂区</w:t>
            </w:r>
            <w:r>
              <w:rPr>
                <w:rFonts w:hint="default" w:ascii="Times New Roman" w:hAnsi="Times New Roman" w:eastAsia="宋体" w:cs="Times New Roman"/>
                <w:sz w:val="24"/>
                <w:szCs w:val="24"/>
                <w:lang w:val="en-US" w:eastAsia="zh-CN"/>
              </w:rPr>
              <w:t>周边</w:t>
            </w:r>
            <w:r>
              <w:rPr>
                <w:rFonts w:hint="eastAsia" w:ascii="Times New Roman" w:hAnsi="Times New Roman" w:eastAsia="宋体" w:cs="Times New Roman"/>
                <w:sz w:val="24"/>
                <w:szCs w:val="24"/>
                <w:lang w:val="en-US" w:eastAsia="zh-CN"/>
              </w:rPr>
              <w:t>颗粒物</w:t>
            </w:r>
            <w:r>
              <w:rPr>
                <w:rFonts w:hint="default" w:ascii="Times New Roman" w:hAnsi="Times New Roman" w:eastAsia="宋体" w:cs="Times New Roman"/>
                <w:sz w:val="24"/>
                <w:szCs w:val="24"/>
                <w:lang w:val="en-US" w:eastAsia="zh-CN"/>
              </w:rPr>
              <w:t>排放浓度满足《水泥工业大气污染物排放标准》（GB4915-2013）表3大气污染物无组织排放限值（颗粒物0.5mg/m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）要求。</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废</w:t>
            </w:r>
            <w:r>
              <w:rPr>
                <w:rFonts w:hint="default" w:ascii="Times New Roman" w:hAnsi="Times New Roman" w:eastAsia="宋体" w:cs="Times New Roman"/>
                <w:color w:val="auto"/>
                <w:sz w:val="24"/>
                <w:highlight w:val="none"/>
                <w:lang w:eastAsia="zh-CN"/>
              </w:rPr>
              <w:t>水</w:t>
            </w:r>
          </w:p>
          <w:p>
            <w:pPr>
              <w:adjustRightInd w:val="0"/>
              <w:snapToGrid w:val="0"/>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运营期产生的废水主要为清洗用水及生活污水，生产废水全部回用于生产，不外排，生活污水经油水分离器、化粪池预处理达到《污水综合排放标准》（GB8978-1996）三级排放标准后排入开发区下水管网，最终排入巴州洁源排水有限公司（库尔勒经济技术开发区工业废水处理回用厂）处理。</w:t>
            </w:r>
          </w:p>
          <w:p>
            <w:pPr>
              <w:adjustRightInd w:val="0"/>
              <w:snapToGrid w:val="0"/>
              <w:spacing w:line="360" w:lineRule="auto"/>
              <w:ind w:firstLine="480" w:firstLineChars="200"/>
              <w:rPr>
                <w:rFonts w:hint="default" w:ascii="Times New Roman" w:hAnsi="Times New Roman" w:eastAsia="宋体" w:cs="Times New Roman"/>
                <w:bCs/>
                <w:sz w:val="24"/>
              </w:rPr>
            </w:pPr>
            <w:r>
              <w:rPr>
                <w:rFonts w:hint="default" w:ascii="Times New Roman" w:hAnsi="Times New Roman" w:eastAsia="宋体" w:cs="Times New Roman"/>
                <w:bCs/>
                <w:sz w:val="24"/>
                <w:lang w:eastAsia="zh-CN"/>
              </w:rPr>
              <w:t>（</w:t>
            </w:r>
            <w:r>
              <w:rPr>
                <w:rFonts w:hint="default" w:ascii="Times New Roman" w:hAnsi="Times New Roman" w:eastAsia="宋体" w:cs="Times New Roman"/>
                <w:bCs/>
                <w:sz w:val="24"/>
                <w:lang w:val="en-US" w:eastAsia="zh-CN"/>
              </w:rPr>
              <w:t>3</w:t>
            </w:r>
            <w:r>
              <w:rPr>
                <w:rFonts w:hint="default" w:ascii="Times New Roman" w:hAnsi="Times New Roman" w:eastAsia="宋体" w:cs="Times New Roman"/>
                <w:bCs/>
                <w:sz w:val="24"/>
                <w:lang w:eastAsia="zh-CN"/>
              </w:rPr>
              <w:t>）</w:t>
            </w:r>
            <w:r>
              <w:rPr>
                <w:rFonts w:hint="default" w:ascii="Times New Roman" w:hAnsi="Times New Roman" w:eastAsia="宋体" w:cs="Times New Roman"/>
                <w:bCs/>
                <w:sz w:val="24"/>
              </w:rPr>
              <w:t>噪声</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厂界噪声</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个监测点位</w:t>
            </w:r>
            <w:r>
              <w:rPr>
                <w:rFonts w:hint="default" w:ascii="Times New Roman" w:hAnsi="Times New Roman" w:eastAsia="宋体" w:cs="Times New Roman"/>
                <w:color w:val="auto"/>
                <w:sz w:val="24"/>
                <w:highlight w:val="none"/>
                <w:lang w:eastAsia="zh-CN"/>
              </w:rPr>
              <w:t>昼、夜间均</w:t>
            </w:r>
            <w:r>
              <w:rPr>
                <w:rFonts w:hint="default" w:ascii="Times New Roman" w:hAnsi="Times New Roman" w:eastAsia="宋体" w:cs="Times New Roman"/>
                <w:color w:val="auto"/>
                <w:sz w:val="24"/>
                <w:highlight w:val="none"/>
              </w:rPr>
              <w:t>满足《工业企业厂界环境噪声排放标准》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GB12348-2008）</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类要求</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满足达标排放要求。</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Chars="0" w:firstLine="482" w:firstLineChars="200"/>
              <w:textAlignment w:val="auto"/>
              <w:rPr>
                <w:rFonts w:hint="default" w:ascii="Times New Roman" w:hAnsi="Times New Roman" w:eastAsia="宋体" w:cs="Times New Roman"/>
                <w:b/>
                <w:sz w:val="24"/>
                <w:lang w:eastAsia="zh-CN"/>
              </w:rPr>
            </w:pPr>
            <w:r>
              <w:rPr>
                <w:rFonts w:hint="default" w:ascii="Times New Roman" w:hAnsi="Times New Roman" w:eastAsia="宋体" w:cs="Times New Roman"/>
                <w:b/>
                <w:sz w:val="24"/>
                <w:lang w:eastAsia="zh-CN"/>
              </w:rPr>
              <w:t>固废</w:t>
            </w:r>
          </w:p>
          <w:p>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①一般固废</w:t>
            </w:r>
          </w:p>
          <w:p>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生产过程中产生的固体废物主要为废弃的砂石料、循环水池产生的沉淀泥沙作为路面铺垫料或地面平整的填料综合利用；废树脂、除尘器废旧滤袋集中收集后交废旧物资回收部门；除尘器收集的粉尘回用于生产；废润滑油属于危险废物，严格按照《危险废物贮存污染控制标准》（GB18597-2023）、《中华人民共和国固体废物污染环境防治法》的有关要求，暂存于危险废物暂存间，定期委托有处置资质的单位进行规范化处置，并严格执行危废环境管理计划和危废转移联单制度，建立固体废物环境管理台账</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生活垃圾集中收集后交由环卫部门统一清运。</w:t>
            </w:r>
          </w:p>
          <w:p>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②生活垃圾</w:t>
            </w:r>
          </w:p>
          <w:p>
            <w:pPr>
              <w:spacing w:line="360" w:lineRule="auto"/>
              <w:ind w:firstLine="480" w:firstLineChars="200"/>
              <w:rPr>
                <w:rFonts w:hint="default" w:ascii="Times New Roman" w:hAnsi="Times New Roman" w:eastAsia="宋体" w:cs="Times New Roman"/>
                <w:bCs/>
                <w:sz w:val="24"/>
                <w:highlight w:val="none"/>
              </w:rPr>
            </w:pPr>
            <w:r>
              <w:rPr>
                <w:rFonts w:hint="default" w:ascii="Times New Roman" w:hAnsi="Times New Roman" w:eastAsia="宋体" w:cs="Times New Roman"/>
                <w:bCs/>
                <w:sz w:val="24"/>
                <w:highlight w:val="none"/>
                <w:lang w:eastAsia="zh-CN"/>
              </w:rPr>
              <w:t>本项目</w:t>
            </w:r>
            <w:r>
              <w:rPr>
                <w:rFonts w:hint="default" w:ascii="Times New Roman" w:hAnsi="Times New Roman" w:eastAsia="宋体" w:cs="Times New Roman"/>
                <w:bCs/>
                <w:sz w:val="24"/>
                <w:highlight w:val="none"/>
              </w:rPr>
              <w:t>产生的</w:t>
            </w:r>
            <w:r>
              <w:rPr>
                <w:rFonts w:hint="eastAsia" w:ascii="Times New Roman" w:hAnsi="Times New Roman" w:eastAsia="宋体" w:cs="Times New Roman"/>
                <w:bCs/>
                <w:sz w:val="24"/>
                <w:highlight w:val="none"/>
                <w:lang w:eastAsia="zh-CN"/>
              </w:rPr>
              <w:t>生活垃圾</w:t>
            </w:r>
            <w:r>
              <w:rPr>
                <w:rFonts w:hint="default" w:ascii="Times New Roman" w:hAnsi="Times New Roman" w:eastAsia="宋体" w:cs="Times New Roman"/>
                <w:bCs/>
                <w:sz w:val="24"/>
                <w:highlight w:val="none"/>
                <w:lang w:val="en-US" w:eastAsia="zh-CN"/>
              </w:rPr>
              <w:t>集中收集后交由环卫部门统一清运。</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outlineLvl w:val="9"/>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1.5、</w:t>
            </w:r>
            <w:r>
              <w:rPr>
                <w:rFonts w:hint="default" w:ascii="Times New Roman" w:hAnsi="Times New Roman" w:eastAsia="宋体" w:cs="Times New Roman"/>
                <w:b/>
                <w:bCs/>
                <w:color w:val="auto"/>
                <w:sz w:val="24"/>
                <w:szCs w:val="24"/>
                <w:highlight w:val="none"/>
                <w:lang w:eastAsia="zh-CN"/>
              </w:rPr>
              <w:t>工程建设对环境的影响</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val="en-US" w:eastAsia="zh-CN"/>
              </w:rPr>
              <w:t>执行了建设项目环境保护“三同时”制度，落实了环评及批复要求的污染防治设施，污染物能够达标排放，因此项目运行对周围环境影响较小。</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1.6、验收结论</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综上所述，《</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绿色装配式建筑产业园扩建项目</w:t>
            </w:r>
            <w:r>
              <w:rPr>
                <w:rFonts w:hint="default" w:ascii="Times New Roman" w:hAnsi="Times New Roman" w:eastAsia="宋体" w:cs="Times New Roman"/>
                <w:b w:val="0"/>
                <w:bCs w:val="0"/>
                <w:color w:val="auto"/>
                <w:sz w:val="24"/>
                <w:szCs w:val="24"/>
                <w:highlight w:val="none"/>
                <w:lang w:val="en-US" w:eastAsia="zh-CN"/>
              </w:rPr>
              <w:t>》执行了建设项目环境保护审批制度，按照环评及批复要求</w:t>
            </w:r>
            <w:r>
              <w:rPr>
                <w:rFonts w:hint="default" w:ascii="Times New Roman" w:hAnsi="Times New Roman" w:eastAsia="宋体" w:cs="Times New Roman"/>
                <w:color w:val="auto"/>
                <w:sz w:val="24"/>
                <w:szCs w:val="24"/>
                <w:highlight w:val="none"/>
                <w:lang w:val="en-US" w:eastAsia="zh-CN"/>
              </w:rPr>
              <w:t>配套建设了废气、废水、噪声、固体废物污染防治设施</w:t>
            </w:r>
            <w:r>
              <w:rPr>
                <w:rFonts w:hint="default" w:ascii="Times New Roman" w:hAnsi="Times New Roman" w:eastAsia="宋体" w:cs="Times New Roman"/>
                <w:b w:val="0"/>
                <w:bCs w:val="0"/>
                <w:color w:val="auto"/>
                <w:sz w:val="24"/>
                <w:szCs w:val="24"/>
                <w:highlight w:val="none"/>
                <w:lang w:val="en-US" w:eastAsia="zh-CN"/>
              </w:rPr>
              <w:t>，监测结果表明各项污染物达标排放，危险废物得到合法处置，对照《建设项目竣工环境保护验收暂行办法》，本项目符合竣工环境保护验收条件，建议建设单位按照国家相关法规、规范要求，组织开展项目竣工环境保护验收工作。</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left"/>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 w:val="24"/>
                <w:highlight w:val="none"/>
                <w:lang w:eastAsia="zh-CN"/>
              </w:rPr>
              <w:t>二、要求和</w:t>
            </w:r>
            <w:r>
              <w:rPr>
                <w:rFonts w:hint="default" w:ascii="Times New Roman" w:hAnsi="Times New Roman" w:eastAsia="宋体" w:cs="Times New Roman"/>
                <w:b/>
                <w:bCs/>
                <w:color w:val="auto"/>
                <w:sz w:val="24"/>
                <w:highlight w:val="none"/>
              </w:rPr>
              <w:t>建议</w:t>
            </w:r>
          </w:p>
          <w:p>
            <w:pPr>
              <w:keepNext w:val="0"/>
              <w:keepLines w:val="0"/>
              <w:pageBreakBefore w:val="0"/>
              <w:widowControl w:val="0"/>
              <w:kinsoku/>
              <w:wordWrap/>
              <w:overflowPunct/>
              <w:topLinePunct w:val="0"/>
              <w:autoSpaceDE w:val="0"/>
              <w:autoSpaceDN w:val="0"/>
              <w:bidi w:val="0"/>
              <w:adjustRightInd/>
              <w:snapToGrid w:val="0"/>
              <w:spacing w:after="0" w:line="360" w:lineRule="auto"/>
              <w:ind w:right="0" w:rightChars="0" w:firstLine="480" w:firstLineChars="200"/>
              <w:jc w:val="left"/>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（1）</w:t>
            </w:r>
            <w:r>
              <w:rPr>
                <w:rFonts w:hint="default" w:ascii="Times New Roman" w:hAnsi="Times New Roman" w:eastAsia="宋体" w:cs="Times New Roman"/>
                <w:color w:val="auto"/>
                <w:sz w:val="24"/>
                <w:highlight w:val="none"/>
                <w:lang w:val="en-US" w:eastAsia="zh-CN"/>
              </w:rPr>
              <w:t>加强环保设施的日常管理，确保各污染物长期稳定达标排放。</w:t>
            </w:r>
          </w:p>
          <w:p>
            <w:pPr>
              <w:pStyle w:val="42"/>
              <w:spacing w:line="360" w:lineRule="auto"/>
              <w:ind w:firstLine="561"/>
              <w:rPr>
                <w:rFonts w:hint="default" w:ascii="Times New Roman" w:hAnsi="Times New Roman" w:eastAsia="宋体" w:cs="Times New Roman"/>
                <w:color w:val="000000"/>
                <w:kern w:val="1"/>
                <w:sz w:val="24"/>
                <w:highlight w:val="none"/>
              </w:rPr>
            </w:pPr>
            <w:r>
              <w:rPr>
                <w:rFonts w:hint="default" w:ascii="Times New Roman" w:hAnsi="Times New Roman" w:eastAsia="宋体" w:cs="Times New Roman"/>
                <w:color w:val="auto"/>
                <w:kern w:val="2"/>
                <w:sz w:val="24"/>
                <w:szCs w:val="24"/>
                <w:highlight w:val="none"/>
                <w:lang w:val="en-US" w:eastAsia="zh-CN" w:bidi="ar-SA"/>
              </w:rPr>
              <w:t>（2）</w:t>
            </w:r>
            <w:r>
              <w:rPr>
                <w:rFonts w:hint="default" w:ascii="Times New Roman" w:hAnsi="Times New Roman" w:eastAsia="宋体" w:cs="Times New Roman"/>
                <w:color w:val="000000"/>
                <w:kern w:val="1"/>
                <w:sz w:val="24"/>
                <w:highlight w:val="none"/>
              </w:rPr>
              <w:t>定期开展突发环境事件应急演练并加强员工环保培训，降低突发环境事故的发生。</w:t>
            </w:r>
          </w:p>
          <w:p>
            <w:pPr>
              <w:widowControl w:val="0"/>
              <w:numPr>
                <w:ilvl w:val="0"/>
                <w:numId w:val="0"/>
              </w:numPr>
              <w:adjustRightInd w:val="0"/>
              <w:snapToGrid w:val="0"/>
              <w:spacing w:line="360" w:lineRule="auto"/>
              <w:jc w:val="both"/>
              <w:rPr>
                <w:rFonts w:hint="default" w:ascii="Times New Roman" w:hAnsi="Times New Roman" w:eastAsia="宋体" w:cs="Times New Roman"/>
                <w:color w:val="000000"/>
                <w:sz w:val="24"/>
                <w:highlight w:val="none"/>
              </w:rPr>
            </w:pPr>
          </w:p>
        </w:tc>
      </w:tr>
    </w:tbl>
    <w:p>
      <w:pPr>
        <w:rPr>
          <w:rFonts w:hint="default" w:ascii="Times New Roman" w:hAnsi="Times New Roman" w:eastAsia="宋体" w:cs="Times New Roman"/>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sz w:val="24"/>
          <w:highlight w:val="none"/>
        </w:rPr>
        <mc:AlternateContent>
          <mc:Choice Requires="wps">
            <w:drawing>
              <wp:anchor distT="0" distB="0" distL="114300" distR="114300" simplePos="0" relativeHeight="251660288" behindDoc="0" locked="0" layoutInCell="1" allowOverlap="1">
                <wp:simplePos x="0" y="0"/>
                <wp:positionH relativeFrom="column">
                  <wp:posOffset>1570990</wp:posOffset>
                </wp:positionH>
                <wp:positionV relativeFrom="paragraph">
                  <wp:posOffset>7420610</wp:posOffset>
                </wp:positionV>
                <wp:extent cx="3056255" cy="340995"/>
                <wp:effectExtent l="6350" t="6350" r="23495" b="14605"/>
                <wp:wrapNone/>
                <wp:docPr id="56" name="矩形 56"/>
                <wp:cNvGraphicFramePr/>
                <a:graphic xmlns:a="http://schemas.openxmlformats.org/drawingml/2006/main">
                  <a:graphicData uri="http://schemas.microsoft.com/office/word/2010/wordprocessingShape">
                    <wps:wsp>
                      <wps:cNvSpPr/>
                      <wps:spPr>
                        <a:xfrm>
                          <a:off x="2228215" y="8744585"/>
                          <a:ext cx="3056255" cy="3409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现场监测图</w:t>
                            </w:r>
                          </w:p>
                          <w:p>
                            <w:pPr>
                              <w:pStyle w:val="32"/>
                              <w:rPr>
                                <w:rFonts w:hint="eastAsia"/>
                                <w:color w:val="000000" w:themeColor="text1"/>
                                <w:lang w:eastAsia="zh-CN"/>
                                <w14:textFill>
                                  <w14:solidFill>
                                    <w14:schemeClr w14:val="tx1"/>
                                  </w14:solidFill>
                                </w14:textFill>
                              </w:rPr>
                            </w:pPr>
                          </w:p>
                          <w:p>
                            <w:pPr>
                              <w:pStyle w:val="32"/>
                              <w:rPr>
                                <w:rFonts w:hint="eastAsia"/>
                                <w:color w:val="000000" w:themeColor="text1"/>
                                <w:lang w:eastAsia="zh-CN"/>
                                <w14:textFill>
                                  <w14:solidFill>
                                    <w14:schemeClr w14:val="tx1"/>
                                  </w14:solidFill>
                                </w14:textFill>
                              </w:rPr>
                            </w:pPr>
                          </w:p>
                          <w:p>
                            <w:pPr>
                              <w:pStyle w:val="32"/>
                              <w:rPr>
                                <w:rFonts w:hint="eastAsia"/>
                                <w:color w:val="000000" w:themeColor="text1"/>
                                <w:lang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3.7pt;margin-top:584.3pt;height:26.85pt;width:240.65pt;z-index:251660288;v-text-anchor:middle;mso-width-relative:page;mso-height-relative:page;" fillcolor="#FFFFFF [3212]" filled="t" stroked="t" coordsize="21600,21600" o:gfxdata="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LMG/HraAAAADQEAAA8AAAAAAAAA&#10;AQAgAAAAIgAAAGRycy9kb3ducmV2LnhtbFBLAQIUABQAAAAIAIdO4kAZARy7gQIAAA0FAAAOAAAA&#10;AAAAAAEAIAAAACkBAABkcnMvZTJvRG9jLnhtbFBLBQYAAAAABgAGAFkBAAAcBgAAAAA=&#10;">
                <v:fill on="t" focussize="0,0"/>
                <v:stroke weight="1pt" color="#FFFFFF [3212]"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现场监测图</w:t>
                      </w:r>
                    </w:p>
                    <w:p>
                      <w:pPr>
                        <w:pStyle w:val="32"/>
                        <w:rPr>
                          <w:rFonts w:hint="eastAsia"/>
                          <w:color w:val="000000" w:themeColor="text1"/>
                          <w:lang w:eastAsia="zh-CN"/>
                          <w14:textFill>
                            <w14:solidFill>
                              <w14:schemeClr w14:val="tx1"/>
                            </w14:solidFill>
                          </w14:textFill>
                        </w:rPr>
                      </w:pPr>
                    </w:p>
                    <w:p>
                      <w:pPr>
                        <w:pStyle w:val="32"/>
                        <w:rPr>
                          <w:rFonts w:hint="eastAsia"/>
                          <w:color w:val="000000" w:themeColor="text1"/>
                          <w:lang w:eastAsia="zh-CN"/>
                          <w14:textFill>
                            <w14:solidFill>
                              <w14:schemeClr w14:val="tx1"/>
                            </w14:solidFill>
                          </w14:textFill>
                        </w:rPr>
                      </w:pPr>
                    </w:p>
                    <w:p>
                      <w:pPr>
                        <w:pStyle w:val="32"/>
                        <w:rPr>
                          <w:rFonts w:hint="eastAsia"/>
                          <w:color w:val="000000" w:themeColor="text1"/>
                          <w:lang w:eastAsia="zh-CN"/>
                          <w14:textFill>
                            <w14:solidFill>
                              <w14:schemeClr w14:val="tx1"/>
                            </w14:solidFill>
                          </w14:textFill>
                        </w:rPr>
                      </w:pPr>
                    </w:p>
                  </w:txbxContent>
                </v:textbox>
              </v:rect>
            </w:pict>
          </mc:Fallback>
        </mc:AlternateContent>
      </w:r>
    </w:p>
    <w:p>
      <w:pPr>
        <w:tabs>
          <w:tab w:val="left" w:pos="658"/>
        </w:tabs>
        <w:adjustRightInd w:val="0"/>
        <w:snapToGrid w:val="0"/>
        <w:spacing w:line="240" w:lineRule="auto"/>
        <w:jc w:val="left"/>
        <w:rPr>
          <w:rFonts w:hint="default" w:ascii="Times New Roman" w:hAnsi="Times New Roman" w:eastAsia="宋体" w:cs="Times New Roman"/>
          <w:highlight w:val="none"/>
          <w:lang w:val="en-US" w:eastAsia="zh-CN"/>
        </w:rPr>
        <w:sectPr>
          <w:headerReference r:id="rId6" w:type="default"/>
          <w:footerReference r:id="rId7" w:type="default"/>
          <w:pgSz w:w="11849" w:h="16781"/>
          <w:pgMar w:top="567" w:right="567" w:bottom="567" w:left="567" w:header="567" w:footer="992" w:gutter="0"/>
          <w:pgBorders>
            <w:top w:val="none" w:sz="0" w:space="0"/>
            <w:left w:val="none" w:sz="0" w:space="0"/>
            <w:bottom w:val="none" w:sz="0" w:space="0"/>
            <w:right w:val="none" w:sz="0" w:space="0"/>
          </w:pgBorders>
          <w:pgNumType w:fmt="decimal"/>
          <w:cols w:space="0" w:num="1"/>
          <w:rtlGutter w:val="0"/>
          <w:docGrid w:type="lines" w:linePitch="316" w:charSpace="0"/>
        </w:sectPr>
      </w:pPr>
    </w:p>
    <w:p>
      <w:pPr>
        <w:adjustRightInd w:val="0"/>
        <w:snapToGrid w:val="0"/>
        <w:spacing w:line="280" w:lineRule="exact"/>
        <w:jc w:val="center"/>
        <w:rPr>
          <w:rFonts w:hint="default" w:ascii="Times New Roman" w:hAnsi="Times New Roman" w:eastAsia="宋体" w:cs="Times New Roman"/>
          <w:b/>
          <w:bCs/>
          <w:sz w:val="24"/>
          <w:highlight w:val="none"/>
        </w:rPr>
      </w:pPr>
      <w:r>
        <w:rPr>
          <w:rFonts w:hint="default" w:ascii="Times New Roman" w:hAnsi="Times New Roman" w:eastAsia="宋体" w:cs="Times New Roman"/>
          <w:b/>
          <w:sz w:val="24"/>
          <w:highlight w:val="none"/>
        </w:rPr>
        <w:t>建设项目工程竣工环境保护</w:t>
      </w:r>
      <w:r>
        <w:rPr>
          <w:rFonts w:hint="default" w:ascii="Times New Roman" w:hAnsi="Times New Roman" w:eastAsia="宋体" w:cs="Times New Roman"/>
          <w:b/>
          <w:sz w:val="24"/>
          <w:highlight w:val="none"/>
          <w:lang w:eastAsia="zh-CN"/>
        </w:rPr>
        <w:t>“</w:t>
      </w:r>
      <w:r>
        <w:rPr>
          <w:rFonts w:hint="default" w:ascii="Times New Roman" w:hAnsi="Times New Roman" w:eastAsia="宋体" w:cs="Times New Roman"/>
          <w:b/>
          <w:sz w:val="24"/>
          <w:highlight w:val="none"/>
        </w:rPr>
        <w:t>三同时</w:t>
      </w:r>
      <w:r>
        <w:rPr>
          <w:rFonts w:hint="default" w:ascii="Times New Roman" w:hAnsi="Times New Roman" w:eastAsia="宋体" w:cs="Times New Roman"/>
          <w:b/>
          <w:sz w:val="24"/>
          <w:highlight w:val="none"/>
          <w:lang w:eastAsia="zh-CN"/>
        </w:rPr>
        <w:t>”</w:t>
      </w:r>
      <w:r>
        <w:rPr>
          <w:rFonts w:hint="default" w:ascii="Times New Roman" w:hAnsi="Times New Roman" w:eastAsia="宋体" w:cs="Times New Roman"/>
          <w:b/>
          <w:sz w:val="24"/>
          <w:highlight w:val="none"/>
        </w:rPr>
        <w:t>验收登记表</w:t>
      </w:r>
    </w:p>
    <w:p>
      <w:pPr>
        <w:rPr>
          <w:rFonts w:hint="default" w:ascii="Times New Roman" w:hAnsi="Times New Roman" w:eastAsia="宋体" w:cs="Times New Roman"/>
          <w:highlight w:val="none"/>
        </w:rPr>
      </w:pPr>
      <w:r>
        <w:rPr>
          <w:rFonts w:hint="default" w:ascii="Times New Roman" w:hAnsi="Times New Roman" w:eastAsia="宋体" w:cs="Times New Roman"/>
          <w:highlight w:val="none"/>
        </w:rPr>
        <w:t>填表单位</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盖章）：</w:t>
      </w:r>
      <w:r>
        <w:rPr>
          <w:rFonts w:hint="eastAsia" w:ascii="Times New Roman" w:hAnsi="Times New Roman" w:eastAsia="宋体" w:cs="Times New Roman"/>
          <w:highlight w:val="none"/>
          <w:lang w:eastAsia="zh-CN"/>
        </w:rPr>
        <w:t>好绿筑科技集团股份公司</w:t>
      </w:r>
      <w:r>
        <w:rPr>
          <w:rFonts w:hint="default" w:ascii="Times New Roman" w:hAnsi="Times New Roman" w:eastAsia="宋体" w:cs="Times New Roman"/>
          <w:highlight w:val="none"/>
          <w:lang w:val="en-US" w:eastAsia="zh-CN"/>
        </w:rPr>
        <w:t xml:space="preserve">             </w:t>
      </w:r>
      <w:r>
        <w:rPr>
          <w:rFonts w:hint="default" w:ascii="Times New Roman" w:hAnsi="Times New Roman" w:eastAsia="宋体" w:cs="Times New Roman"/>
          <w:highlight w:val="none"/>
        </w:rPr>
        <w:t>填表人签字：</w:t>
      </w:r>
      <w:r>
        <w:rPr>
          <w:rFonts w:hint="default" w:ascii="Times New Roman" w:hAnsi="Times New Roman" w:eastAsia="宋体" w:cs="Times New Roman"/>
          <w:highlight w:val="none"/>
          <w:lang w:val="en-US" w:eastAsia="zh-CN"/>
        </w:rPr>
        <w:t xml:space="preserve">                                 </w:t>
      </w:r>
      <w:r>
        <w:rPr>
          <w:rFonts w:hint="default" w:ascii="Times New Roman" w:hAnsi="Times New Roman" w:eastAsia="宋体" w:cs="Times New Roman"/>
          <w:highlight w:val="none"/>
        </w:rPr>
        <w:t>项目经办人</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签字）：</w:t>
      </w:r>
    </w:p>
    <w:tbl>
      <w:tblPr>
        <w:tblStyle w:val="23"/>
        <w:tblW w:w="158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198"/>
        <w:gridCol w:w="1118"/>
        <w:gridCol w:w="881"/>
        <w:gridCol w:w="783"/>
        <w:gridCol w:w="218"/>
        <w:gridCol w:w="1111"/>
        <w:gridCol w:w="202"/>
        <w:gridCol w:w="529"/>
        <w:gridCol w:w="199"/>
        <w:gridCol w:w="230"/>
        <w:gridCol w:w="427"/>
        <w:gridCol w:w="138"/>
        <w:gridCol w:w="457"/>
        <w:gridCol w:w="149"/>
        <w:gridCol w:w="493"/>
        <w:gridCol w:w="487"/>
        <w:gridCol w:w="528"/>
        <w:gridCol w:w="385"/>
        <w:gridCol w:w="169"/>
        <w:gridCol w:w="907"/>
        <w:gridCol w:w="128"/>
        <w:gridCol w:w="295"/>
        <w:gridCol w:w="443"/>
        <w:gridCol w:w="498"/>
        <w:gridCol w:w="1097"/>
        <w:gridCol w:w="811"/>
        <w:gridCol w:w="470"/>
        <w:gridCol w:w="241"/>
        <w:gridCol w:w="568"/>
        <w:gridCol w:w="191"/>
        <w:gridCol w:w="386"/>
        <w:gridCol w:w="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58" w:type="dxa"/>
            <w:vMerge w:val="restar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建设项目</w:t>
            </w:r>
          </w:p>
        </w:tc>
        <w:tc>
          <w:tcPr>
            <w:tcW w:w="2197" w:type="dxa"/>
            <w:gridSpan w:val="3"/>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项目名称</w:t>
            </w:r>
          </w:p>
        </w:tc>
        <w:tc>
          <w:tcPr>
            <w:tcW w:w="4936" w:type="dxa"/>
            <w:gridSpan w:val="12"/>
            <w:vAlign w:val="center"/>
          </w:tcPr>
          <w:p>
            <w:pPr>
              <w:jc w:val="center"/>
              <w:rPr>
                <w:rFonts w:hint="default" w:ascii="Times New Roman" w:hAnsi="Times New Roman" w:eastAsia="宋体" w:cs="Times New Roman"/>
                <w:sz w:val="18"/>
                <w:szCs w:val="18"/>
                <w:highlight w:val="none"/>
                <w:lang w:eastAsia="zh-CN"/>
              </w:rPr>
            </w:pPr>
            <w:r>
              <w:rPr>
                <w:rFonts w:hint="eastAsia" w:ascii="Times New Roman" w:hAnsi="Times New Roman" w:eastAsia="宋体" w:cs="Times New Roman"/>
                <w:sz w:val="18"/>
                <w:szCs w:val="18"/>
                <w:highlight w:val="none"/>
                <w:lang w:eastAsia="zh-CN"/>
              </w:rPr>
              <w:t>绿色装配式建筑产业园扩建项目</w:t>
            </w:r>
          </w:p>
        </w:tc>
        <w:tc>
          <w:tcPr>
            <w:tcW w:w="2476" w:type="dxa"/>
            <w:gridSpan w:val="5"/>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项目代码</w:t>
            </w:r>
          </w:p>
        </w:tc>
        <w:tc>
          <w:tcPr>
            <w:tcW w:w="866" w:type="dxa"/>
            <w:gridSpan w:val="3"/>
            <w:vAlign w:val="center"/>
          </w:tcPr>
          <w:p>
            <w:pPr>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595" w:type="dxa"/>
            <w:gridSpan w:val="2"/>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建设地点</w:t>
            </w:r>
          </w:p>
        </w:tc>
        <w:tc>
          <w:tcPr>
            <w:tcW w:w="3335" w:type="dxa"/>
            <w:gridSpan w:val="7"/>
            <w:vAlign w:val="center"/>
          </w:tcPr>
          <w:p>
            <w:pPr>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库尔勒经济技术开发区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58" w:type="dxa"/>
            <w:vMerge w:val="continue"/>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2197" w:type="dxa"/>
            <w:gridSpan w:val="3"/>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行业类别</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r>
              <w:rPr>
                <w:rFonts w:hint="default" w:ascii="Times New Roman" w:hAnsi="Times New Roman" w:eastAsia="宋体" w:cs="Times New Roman"/>
                <w:color w:val="000000" w:themeColor="text1"/>
                <w:sz w:val="18"/>
                <w:szCs w:val="18"/>
                <w:highlight w:val="none"/>
                <w14:textFill>
                  <w14:solidFill>
                    <w14:schemeClr w14:val="tx1"/>
                  </w14:solidFill>
                </w14:textFill>
              </w:rPr>
              <w:t>分类管理名录）</w:t>
            </w:r>
          </w:p>
        </w:tc>
        <w:tc>
          <w:tcPr>
            <w:tcW w:w="4936" w:type="dxa"/>
            <w:gridSpan w:val="12"/>
            <w:vAlign w:val="center"/>
          </w:tcPr>
          <w:p>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石膏、水泥制品及类似制品制造</w:t>
            </w:r>
          </w:p>
        </w:tc>
        <w:tc>
          <w:tcPr>
            <w:tcW w:w="2476" w:type="dxa"/>
            <w:gridSpan w:val="5"/>
            <w:vAlign w:val="center"/>
          </w:tcPr>
          <w:p>
            <w:pPr>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建设性质</w:t>
            </w:r>
          </w:p>
        </w:tc>
        <w:tc>
          <w:tcPr>
            <w:tcW w:w="5796" w:type="dxa"/>
            <w:gridSpan w:val="12"/>
            <w:vAlign w:val="center"/>
          </w:tcPr>
          <w:p>
            <w:pPr>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口新建√改扩建口技术改造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exact"/>
          <w:jc w:val="center"/>
        </w:trPr>
        <w:tc>
          <w:tcPr>
            <w:tcW w:w="458" w:type="dxa"/>
            <w:vMerge w:val="continue"/>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2197" w:type="dxa"/>
            <w:gridSpan w:val="3"/>
            <w:vAlign w:val="center"/>
          </w:tcPr>
          <w:p>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设计生产能力</w:t>
            </w:r>
          </w:p>
        </w:tc>
        <w:tc>
          <w:tcPr>
            <w:tcW w:w="3699" w:type="dxa"/>
            <w:gridSpan w:val="8"/>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年产100万m</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复合免拆保温模板、100万m</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叠合楼板、PC构件5万m</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、商品混凝土95万m</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3</w:t>
            </w:r>
          </w:p>
        </w:tc>
        <w:tc>
          <w:tcPr>
            <w:tcW w:w="1237" w:type="dxa"/>
            <w:gridSpan w:val="4"/>
            <w:vAlign w:val="center"/>
          </w:tcPr>
          <w:p>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实际生产能力</w:t>
            </w:r>
          </w:p>
        </w:tc>
        <w:tc>
          <w:tcPr>
            <w:tcW w:w="3840" w:type="dxa"/>
            <w:gridSpan w:val="9"/>
            <w:vAlign w:val="center"/>
          </w:tcPr>
          <w:p>
            <w:pPr>
              <w:jc w:val="both"/>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年产100万m</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复合免拆保温模板、100万m</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叠合楼板、PC构件5万m</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、商品混凝土95万m</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3</w:t>
            </w:r>
          </w:p>
        </w:tc>
        <w:tc>
          <w:tcPr>
            <w:tcW w:w="1097" w:type="dxa"/>
            <w:vAlign w:val="center"/>
          </w:tcPr>
          <w:p>
            <w:pPr>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环评单位</w:t>
            </w:r>
          </w:p>
        </w:tc>
        <w:tc>
          <w:tcPr>
            <w:tcW w:w="3335" w:type="dxa"/>
            <w:gridSpan w:val="7"/>
            <w:vAlign w:val="center"/>
          </w:tcPr>
          <w:p>
            <w:pPr>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新疆</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中测环保科技</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58" w:type="dxa"/>
            <w:vMerge w:val="continue"/>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2197" w:type="dxa"/>
            <w:gridSpan w:val="3"/>
            <w:vAlign w:val="center"/>
          </w:tcPr>
          <w:p>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环评文件审批机关</w:t>
            </w:r>
          </w:p>
        </w:tc>
        <w:tc>
          <w:tcPr>
            <w:tcW w:w="4936" w:type="dxa"/>
            <w:gridSpan w:val="12"/>
            <w:vAlign w:val="center"/>
          </w:tcPr>
          <w:p>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巴州生态环境局</w:t>
            </w:r>
          </w:p>
        </w:tc>
        <w:tc>
          <w:tcPr>
            <w:tcW w:w="1400" w:type="dxa"/>
            <w:gridSpan w:val="3"/>
            <w:vAlign w:val="center"/>
          </w:tcPr>
          <w:p>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审批文号</w:t>
            </w:r>
          </w:p>
        </w:tc>
        <w:tc>
          <w:tcPr>
            <w:tcW w:w="2440" w:type="dxa"/>
            <w:gridSpan w:val="6"/>
            <w:vAlign w:val="center"/>
          </w:tcPr>
          <w:p>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巴环评价函</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〔20</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23</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78</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号</w:t>
            </w:r>
          </w:p>
        </w:tc>
        <w:tc>
          <w:tcPr>
            <w:tcW w:w="1908" w:type="dxa"/>
            <w:gridSpan w:val="2"/>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环评文件类型</w:t>
            </w:r>
          </w:p>
        </w:tc>
        <w:tc>
          <w:tcPr>
            <w:tcW w:w="2524" w:type="dxa"/>
            <w:gridSpan w:val="6"/>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58" w:type="dxa"/>
            <w:vMerge w:val="continue"/>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2197" w:type="dxa"/>
            <w:gridSpan w:val="3"/>
            <w:vAlign w:val="center"/>
          </w:tcPr>
          <w:p>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开工日期</w:t>
            </w:r>
          </w:p>
        </w:tc>
        <w:tc>
          <w:tcPr>
            <w:tcW w:w="4936" w:type="dxa"/>
            <w:gridSpan w:val="12"/>
            <w:vAlign w:val="center"/>
          </w:tcPr>
          <w:p>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20</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21</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年</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 xml:space="preserve">6 </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月</w:t>
            </w:r>
          </w:p>
        </w:tc>
        <w:tc>
          <w:tcPr>
            <w:tcW w:w="2476" w:type="dxa"/>
            <w:gridSpan w:val="5"/>
            <w:vAlign w:val="center"/>
          </w:tcPr>
          <w:p>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竣工时间</w:t>
            </w:r>
          </w:p>
        </w:tc>
        <w:tc>
          <w:tcPr>
            <w:tcW w:w="1364" w:type="dxa"/>
            <w:gridSpan w:val="4"/>
            <w:vAlign w:val="center"/>
          </w:tcPr>
          <w:p>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2022年</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月</w:t>
            </w:r>
          </w:p>
        </w:tc>
        <w:tc>
          <w:tcPr>
            <w:tcW w:w="1908" w:type="dxa"/>
            <w:gridSpan w:val="2"/>
            <w:vAlign w:val="center"/>
          </w:tcPr>
          <w:p>
            <w:pPr>
              <w:jc w:val="both"/>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排污许可证申领时间</w:t>
            </w:r>
          </w:p>
        </w:tc>
        <w:tc>
          <w:tcPr>
            <w:tcW w:w="2524" w:type="dxa"/>
            <w:gridSpan w:val="6"/>
            <w:vAlign w:val="center"/>
          </w:tcPr>
          <w:p>
            <w:pPr>
              <w:jc w:val="center"/>
              <w:rPr>
                <w:rFonts w:hint="default" w:ascii="Times New Roman" w:hAnsi="Times New Roman" w:eastAsia="宋体" w:cs="Times New Roman"/>
                <w:color w:val="000000" w:themeColor="text1"/>
                <w:sz w:val="18"/>
                <w:szCs w:val="18"/>
                <w:highlight w:val="red"/>
                <w:lang w:val="en-US"/>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202</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58" w:type="dxa"/>
            <w:vMerge w:val="continue"/>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2197" w:type="dxa"/>
            <w:gridSpan w:val="3"/>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环保设施设计单位</w:t>
            </w:r>
          </w:p>
        </w:tc>
        <w:tc>
          <w:tcPr>
            <w:tcW w:w="3042" w:type="dxa"/>
            <w:gridSpan w:val="6"/>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894" w:type="dxa"/>
            <w:gridSpan w:val="6"/>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环保设施施工单位</w:t>
            </w:r>
          </w:p>
        </w:tc>
        <w:tc>
          <w:tcPr>
            <w:tcW w:w="3840" w:type="dxa"/>
            <w:gridSpan w:val="9"/>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908" w:type="dxa"/>
            <w:gridSpan w:val="2"/>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排污许可证编号</w:t>
            </w:r>
          </w:p>
        </w:tc>
        <w:tc>
          <w:tcPr>
            <w:tcW w:w="2524" w:type="dxa"/>
            <w:gridSpan w:val="6"/>
            <w:vAlign w:val="center"/>
          </w:tcPr>
          <w:p>
            <w:pPr>
              <w:jc w:val="both"/>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91652801MA792G7W9A001</w:t>
            </w:r>
            <w:r>
              <w:rPr>
                <w:rFonts w:hint="eastAsia" w:ascii="Times New Roman" w:hAnsi="Times New Roman" w:eastAsia="宋体" w:cs="Times New Roman"/>
                <w:color w:val="auto"/>
                <w:sz w:val="18"/>
                <w:szCs w:val="18"/>
                <w:highlight w:val="none"/>
                <w:lang w:val="en-US" w:eastAsia="zh-CN"/>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58" w:type="dxa"/>
            <w:vMerge w:val="continue"/>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2197" w:type="dxa"/>
            <w:gridSpan w:val="3"/>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验收单位</w:t>
            </w:r>
          </w:p>
        </w:tc>
        <w:tc>
          <w:tcPr>
            <w:tcW w:w="3837" w:type="dxa"/>
            <w:gridSpan w:val="9"/>
            <w:vAlign w:val="center"/>
          </w:tcPr>
          <w:p>
            <w:pPr>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t>好绿筑科技集团股份公司</w:t>
            </w:r>
          </w:p>
        </w:tc>
        <w:tc>
          <w:tcPr>
            <w:tcW w:w="2114" w:type="dxa"/>
            <w:gridSpan w:val="5"/>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环保设施监测单位</w:t>
            </w:r>
          </w:p>
        </w:tc>
        <w:tc>
          <w:tcPr>
            <w:tcW w:w="2825" w:type="dxa"/>
            <w:gridSpan w:val="7"/>
            <w:vAlign w:val="center"/>
          </w:tcPr>
          <w:p>
            <w:pPr>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t>新疆中测测试有限责任公司</w:t>
            </w:r>
          </w:p>
        </w:tc>
        <w:tc>
          <w:tcPr>
            <w:tcW w:w="1908" w:type="dxa"/>
            <w:gridSpan w:val="2"/>
            <w:vAlign w:val="center"/>
          </w:tcPr>
          <w:p>
            <w:pPr>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验收监测时工况</w:t>
            </w:r>
          </w:p>
        </w:tc>
        <w:tc>
          <w:tcPr>
            <w:tcW w:w="2524" w:type="dxa"/>
            <w:gridSpan w:val="6"/>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工况稳定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58" w:type="dxa"/>
            <w:vMerge w:val="continue"/>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2197" w:type="dxa"/>
            <w:gridSpan w:val="3"/>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投资总额概算</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万元）</w:t>
            </w:r>
          </w:p>
        </w:tc>
        <w:tc>
          <w:tcPr>
            <w:tcW w:w="4936" w:type="dxa"/>
            <w:gridSpan w:val="12"/>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10000</w:t>
            </w:r>
          </w:p>
        </w:tc>
        <w:tc>
          <w:tcPr>
            <w:tcW w:w="2476" w:type="dxa"/>
            <w:gridSpan w:val="5"/>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环保投资总概算</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万元）</w:t>
            </w:r>
          </w:p>
        </w:tc>
        <w:tc>
          <w:tcPr>
            <w:tcW w:w="1364" w:type="dxa"/>
            <w:gridSpan w:val="4"/>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125</w:t>
            </w:r>
          </w:p>
        </w:tc>
        <w:tc>
          <w:tcPr>
            <w:tcW w:w="1908" w:type="dxa"/>
            <w:gridSpan w:val="2"/>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所占比例</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w:t>
            </w:r>
          </w:p>
        </w:tc>
        <w:tc>
          <w:tcPr>
            <w:tcW w:w="2524" w:type="dxa"/>
            <w:gridSpan w:val="6"/>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r>
              <w:rPr>
                <w:rFonts w:hint="eastAsia" w:ascii="Times New Roman" w:hAnsi="Times New Roman" w:eastAsia="宋体" w:cs="Times New Roman"/>
                <w:color w:val="auto"/>
                <w:sz w:val="18"/>
                <w:szCs w:val="18"/>
                <w:highlight w:val="none"/>
                <w:lang w:val="en-US" w:eastAsia="zh-CN"/>
              </w:rPr>
              <w:t>25</w:t>
            </w:r>
            <w:r>
              <w:rPr>
                <w:rFonts w:hint="default"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58" w:type="dxa"/>
            <w:vMerge w:val="continue"/>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2197" w:type="dxa"/>
            <w:gridSpan w:val="3"/>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实际总投资</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万元）</w:t>
            </w:r>
          </w:p>
        </w:tc>
        <w:tc>
          <w:tcPr>
            <w:tcW w:w="4936" w:type="dxa"/>
            <w:gridSpan w:val="12"/>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10000</w:t>
            </w:r>
          </w:p>
        </w:tc>
        <w:tc>
          <w:tcPr>
            <w:tcW w:w="2476" w:type="dxa"/>
            <w:gridSpan w:val="5"/>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实际环保投资</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万元）</w:t>
            </w:r>
          </w:p>
        </w:tc>
        <w:tc>
          <w:tcPr>
            <w:tcW w:w="1364" w:type="dxa"/>
            <w:gridSpan w:val="4"/>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125</w:t>
            </w:r>
          </w:p>
        </w:tc>
        <w:tc>
          <w:tcPr>
            <w:tcW w:w="1908" w:type="dxa"/>
            <w:gridSpan w:val="2"/>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所占比例</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w:t>
            </w:r>
          </w:p>
        </w:tc>
        <w:tc>
          <w:tcPr>
            <w:tcW w:w="2524" w:type="dxa"/>
            <w:gridSpan w:val="6"/>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58" w:type="dxa"/>
            <w:vMerge w:val="continue"/>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2197" w:type="dxa"/>
            <w:gridSpan w:val="3"/>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废水治理</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万元）</w:t>
            </w:r>
          </w:p>
        </w:tc>
        <w:tc>
          <w:tcPr>
            <w:tcW w:w="783" w:type="dxa"/>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8</w:t>
            </w:r>
          </w:p>
        </w:tc>
        <w:tc>
          <w:tcPr>
            <w:tcW w:w="1531" w:type="dxa"/>
            <w:gridSpan w:val="3"/>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废气治理</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万元）</w:t>
            </w:r>
          </w:p>
        </w:tc>
        <w:tc>
          <w:tcPr>
            <w:tcW w:w="529" w:type="dxa"/>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75</w:t>
            </w:r>
          </w:p>
        </w:tc>
        <w:tc>
          <w:tcPr>
            <w:tcW w:w="1600" w:type="dxa"/>
            <w:gridSpan w:val="6"/>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噪声治理</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万元）</w:t>
            </w:r>
          </w:p>
        </w:tc>
        <w:tc>
          <w:tcPr>
            <w:tcW w:w="493" w:type="dxa"/>
            <w:vAlign w:val="center"/>
          </w:tcPr>
          <w:p>
            <w:pPr>
              <w:jc w:val="both"/>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12</w:t>
            </w:r>
          </w:p>
        </w:tc>
        <w:tc>
          <w:tcPr>
            <w:tcW w:w="2476" w:type="dxa"/>
            <w:gridSpan w:val="5"/>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固体废物治理</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万元）</w:t>
            </w:r>
          </w:p>
        </w:tc>
        <w:tc>
          <w:tcPr>
            <w:tcW w:w="1364" w:type="dxa"/>
            <w:gridSpan w:val="4"/>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10</w:t>
            </w:r>
          </w:p>
        </w:tc>
        <w:tc>
          <w:tcPr>
            <w:tcW w:w="1908" w:type="dxa"/>
            <w:gridSpan w:val="2"/>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绿化及生态</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万元）</w:t>
            </w:r>
          </w:p>
        </w:tc>
        <w:tc>
          <w:tcPr>
            <w:tcW w:w="711" w:type="dxa"/>
            <w:gridSpan w:val="2"/>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15</w:t>
            </w:r>
          </w:p>
        </w:tc>
        <w:tc>
          <w:tcPr>
            <w:tcW w:w="1145" w:type="dxa"/>
            <w:gridSpan w:val="3"/>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其他</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万元）</w:t>
            </w:r>
          </w:p>
        </w:tc>
        <w:tc>
          <w:tcPr>
            <w:tcW w:w="668" w:type="dxa"/>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58" w:type="dxa"/>
            <w:vMerge w:val="continue"/>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2197" w:type="dxa"/>
            <w:gridSpan w:val="3"/>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新增废水处理设施能力</w:t>
            </w:r>
          </w:p>
        </w:tc>
        <w:tc>
          <w:tcPr>
            <w:tcW w:w="4936" w:type="dxa"/>
            <w:gridSpan w:val="12"/>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c>
          <w:tcPr>
            <w:tcW w:w="2476" w:type="dxa"/>
            <w:gridSpan w:val="5"/>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新增废气处理设施能力</w:t>
            </w:r>
          </w:p>
        </w:tc>
        <w:tc>
          <w:tcPr>
            <w:tcW w:w="1364" w:type="dxa"/>
            <w:gridSpan w:val="4"/>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c>
          <w:tcPr>
            <w:tcW w:w="1908" w:type="dxa"/>
            <w:gridSpan w:val="2"/>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年平均工作时</w:t>
            </w:r>
          </w:p>
        </w:tc>
        <w:tc>
          <w:tcPr>
            <w:tcW w:w="2524" w:type="dxa"/>
            <w:gridSpan w:val="6"/>
            <w:vAlign w:val="center"/>
          </w:tcPr>
          <w:p>
            <w:pPr>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3000</w:t>
            </w:r>
            <w:r>
              <w:rPr>
                <w:rFonts w:hint="default" w:ascii="Times New Roman" w:hAnsi="Times New Roman" w:eastAsia="宋体" w:cs="Times New Roman"/>
                <w:color w:val="auto"/>
                <w:sz w:val="18"/>
                <w:szCs w:val="18"/>
                <w:highlight w:val="none"/>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655" w:type="dxa"/>
            <w:gridSpan w:val="4"/>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运营单位</w:t>
            </w:r>
          </w:p>
        </w:tc>
        <w:tc>
          <w:tcPr>
            <w:tcW w:w="3699" w:type="dxa"/>
            <w:gridSpan w:val="8"/>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eastAsia="zh-CN"/>
              </w:rPr>
              <w:t>好绿筑科技集团股份公司</w:t>
            </w:r>
          </w:p>
        </w:tc>
        <w:tc>
          <w:tcPr>
            <w:tcW w:w="4136" w:type="dxa"/>
            <w:gridSpan w:val="11"/>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运营单位社会统一信用代码</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或组织机构代码）</w:t>
            </w:r>
          </w:p>
        </w:tc>
        <w:tc>
          <w:tcPr>
            <w:tcW w:w="2849" w:type="dxa"/>
            <w:gridSpan w:val="4"/>
            <w:vAlign w:val="top"/>
          </w:tcPr>
          <w:p>
            <w:pPr>
              <w:jc w:val="left"/>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5"/>
                <w:szCs w:val="15"/>
                <w:highlight w:val="none"/>
              </w:rPr>
              <w:t>91652900MA7778UD38</w:t>
            </w:r>
          </w:p>
        </w:tc>
        <w:tc>
          <w:tcPr>
            <w:tcW w:w="1279" w:type="dxa"/>
            <w:gridSpan w:val="3"/>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验收时间</w:t>
            </w:r>
          </w:p>
        </w:tc>
        <w:tc>
          <w:tcPr>
            <w:tcW w:w="1245" w:type="dxa"/>
            <w:gridSpan w:val="3"/>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w:t>
            </w:r>
            <w:r>
              <w:rPr>
                <w:rFonts w:hint="default" w:ascii="Times New Roman" w:hAnsi="Times New Roman" w:eastAsia="宋体" w:cs="Times New Roman"/>
                <w:color w:val="auto"/>
                <w:sz w:val="18"/>
                <w:szCs w:val="18"/>
                <w:highlight w:val="none"/>
                <w:lang w:val="en-US" w:eastAsia="zh-CN"/>
              </w:rPr>
              <w:t>2</w:t>
            </w:r>
            <w:r>
              <w:rPr>
                <w:rFonts w:hint="eastAsia" w:cs="Times New Roman"/>
                <w:color w:val="auto"/>
                <w:sz w:val="18"/>
                <w:szCs w:val="18"/>
                <w:highlight w:val="none"/>
                <w:lang w:val="en-US" w:eastAsia="zh-CN"/>
              </w:rPr>
              <w:t>3</w:t>
            </w:r>
            <w:r>
              <w:rPr>
                <w:rFonts w:hint="default" w:ascii="Times New Roman" w:hAnsi="Times New Roman" w:eastAsia="宋体" w:cs="Times New Roman"/>
                <w:color w:val="auto"/>
                <w:sz w:val="18"/>
                <w:szCs w:val="18"/>
                <w:highlight w:val="none"/>
              </w:rPr>
              <w:t>年</w:t>
            </w:r>
            <w:r>
              <w:rPr>
                <w:rFonts w:hint="eastAsia" w:cs="Times New Roman"/>
                <w:color w:val="auto"/>
                <w:sz w:val="18"/>
                <w:szCs w:val="18"/>
                <w:highlight w:val="none"/>
                <w:lang w:val="en-US" w:eastAsia="zh-CN"/>
              </w:rPr>
              <w:t>10</w:t>
            </w:r>
            <w:r>
              <w:rPr>
                <w:rFonts w:hint="default" w:ascii="Times New Roman" w:hAnsi="Times New Roman" w:eastAsia="宋体" w:cs="Times New Roman"/>
                <w:color w:val="auto"/>
                <w:sz w:val="18"/>
                <w:szCs w:val="18"/>
                <w:highlight w:val="none"/>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656" w:type="dxa"/>
            <w:gridSpan w:val="2"/>
            <w:vMerge w:val="restart"/>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污染物排放达标与总量控制</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r>
              <w:rPr>
                <w:rFonts w:hint="default" w:ascii="Times New Roman" w:hAnsi="Times New Roman" w:eastAsia="宋体" w:cs="Times New Roman"/>
                <w:color w:val="000000" w:themeColor="text1"/>
                <w:sz w:val="18"/>
                <w:szCs w:val="18"/>
                <w:highlight w:val="none"/>
                <w14:textFill>
                  <w14:solidFill>
                    <w14:schemeClr w14:val="tx1"/>
                  </w14:solidFill>
                </w14:textFill>
              </w:rPr>
              <w:t>工业建设项目详填）</w:t>
            </w:r>
          </w:p>
        </w:tc>
        <w:tc>
          <w:tcPr>
            <w:tcW w:w="1999" w:type="dxa"/>
            <w:gridSpan w:val="2"/>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污染物</w:t>
            </w:r>
          </w:p>
        </w:tc>
        <w:tc>
          <w:tcPr>
            <w:tcW w:w="1001"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原有排放量</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r>
              <w:rPr>
                <w:rFonts w:hint="default" w:ascii="Times New Roman" w:hAnsi="Times New Roman" w:eastAsia="宋体" w:cs="Times New Roman"/>
                <w:color w:val="000000" w:themeColor="text1"/>
                <w:sz w:val="18"/>
                <w:szCs w:val="18"/>
                <w:highlight w:val="none"/>
                <w14:textFill>
                  <w14:solidFill>
                    <w14:schemeClr w14:val="tx1"/>
                  </w14:solidFill>
                </w14:textFill>
              </w:rPr>
              <w:t>1</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p>
        </w:tc>
        <w:tc>
          <w:tcPr>
            <w:tcW w:w="1111" w:type="dxa"/>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本期工程实际排放浓度</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r>
              <w:rPr>
                <w:rFonts w:hint="default" w:ascii="Times New Roman" w:hAnsi="Times New Roman" w:eastAsia="宋体" w:cs="Times New Roman"/>
                <w:color w:val="000000" w:themeColor="text1"/>
                <w:sz w:val="18"/>
                <w:szCs w:val="18"/>
                <w:highlight w:val="none"/>
                <w14:textFill>
                  <w14:solidFill>
                    <w14:schemeClr w14:val="tx1"/>
                  </w14:solidFill>
                </w14:textFill>
              </w:rPr>
              <w:t>2</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p>
        </w:tc>
        <w:tc>
          <w:tcPr>
            <w:tcW w:w="1160" w:type="dxa"/>
            <w:gridSpan w:val="4"/>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本期工程允许排放浓度</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r>
              <w:rPr>
                <w:rFonts w:hint="default" w:ascii="Times New Roman" w:hAnsi="Times New Roman" w:eastAsia="宋体" w:cs="Times New Roman"/>
                <w:color w:val="000000" w:themeColor="text1"/>
                <w:sz w:val="18"/>
                <w:szCs w:val="18"/>
                <w:highlight w:val="none"/>
                <w14:textFill>
                  <w14:solidFill>
                    <w14:schemeClr w14:val="tx1"/>
                  </w14:solidFill>
                </w14:textFill>
              </w:rPr>
              <w:t>3</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p>
        </w:tc>
        <w:tc>
          <w:tcPr>
            <w:tcW w:w="1022"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本期工程产生量</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r>
              <w:rPr>
                <w:rFonts w:hint="default" w:ascii="Times New Roman" w:hAnsi="Times New Roman" w:eastAsia="宋体" w:cs="Times New Roman"/>
                <w:color w:val="000000" w:themeColor="text1"/>
                <w:sz w:val="18"/>
                <w:szCs w:val="18"/>
                <w:highlight w:val="none"/>
                <w14:textFill>
                  <w14:solidFill>
                    <w14:schemeClr w14:val="tx1"/>
                  </w14:solidFill>
                </w14:textFill>
              </w:rPr>
              <w:t>4</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p>
        </w:tc>
        <w:tc>
          <w:tcPr>
            <w:tcW w:w="1129"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本期工程自身削减量</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r>
              <w:rPr>
                <w:rFonts w:hint="default" w:ascii="Times New Roman" w:hAnsi="Times New Roman" w:eastAsia="宋体" w:cs="Times New Roman"/>
                <w:color w:val="000000" w:themeColor="text1"/>
                <w:sz w:val="18"/>
                <w:szCs w:val="18"/>
                <w:highlight w:val="none"/>
                <w14:textFill>
                  <w14:solidFill>
                    <w14:schemeClr w14:val="tx1"/>
                  </w14:solidFill>
                </w14:textFill>
              </w:rPr>
              <w:t>5</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p>
        </w:tc>
        <w:tc>
          <w:tcPr>
            <w:tcW w:w="1082"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本期工程实际排放量</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r>
              <w:rPr>
                <w:rFonts w:hint="default" w:ascii="Times New Roman" w:hAnsi="Times New Roman" w:eastAsia="宋体" w:cs="Times New Roman"/>
                <w:color w:val="000000" w:themeColor="text1"/>
                <w:sz w:val="18"/>
                <w:szCs w:val="18"/>
                <w:highlight w:val="none"/>
                <w14:textFill>
                  <w14:solidFill>
                    <w14:schemeClr w14:val="tx1"/>
                  </w14:solidFill>
                </w14:textFill>
              </w:rPr>
              <w:t>6</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p>
        </w:tc>
        <w:tc>
          <w:tcPr>
            <w:tcW w:w="1035"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本期工程核定排放总量</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r>
              <w:rPr>
                <w:rFonts w:hint="default" w:ascii="Times New Roman" w:hAnsi="Times New Roman" w:eastAsia="宋体" w:cs="Times New Roman"/>
                <w:color w:val="000000" w:themeColor="text1"/>
                <w:sz w:val="18"/>
                <w:szCs w:val="18"/>
                <w:highlight w:val="none"/>
                <w14:textFill>
                  <w14:solidFill>
                    <w14:schemeClr w14:val="tx1"/>
                  </w14:solidFill>
                </w14:textFill>
              </w:rPr>
              <w:t>7</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p>
        </w:tc>
        <w:tc>
          <w:tcPr>
            <w:tcW w:w="1236"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本期工程</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r>
              <w:rPr>
                <w:rFonts w:hint="default" w:ascii="Times New Roman" w:hAnsi="Times New Roman" w:eastAsia="宋体" w:cs="Times New Roman"/>
                <w:color w:val="000000" w:themeColor="text1"/>
                <w:sz w:val="18"/>
                <w:szCs w:val="18"/>
                <w:highlight w:val="none"/>
                <w14:textFill>
                  <w14:solidFill>
                    <w14:schemeClr w14:val="tx1"/>
                  </w14:solidFill>
                </w14:textFill>
              </w:rPr>
              <w:t>以新带老</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r>
              <w:rPr>
                <w:rFonts w:hint="default" w:ascii="Times New Roman" w:hAnsi="Times New Roman" w:eastAsia="宋体" w:cs="Times New Roman"/>
                <w:color w:val="000000" w:themeColor="text1"/>
                <w:sz w:val="18"/>
                <w:szCs w:val="18"/>
                <w:highlight w:val="none"/>
                <w14:textFill>
                  <w14:solidFill>
                    <w14:schemeClr w14:val="tx1"/>
                  </w14:solidFill>
                </w14:textFill>
              </w:rPr>
              <w:t>削减量</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r>
              <w:rPr>
                <w:rFonts w:hint="default" w:ascii="Times New Roman" w:hAnsi="Times New Roman" w:eastAsia="宋体" w:cs="Times New Roman"/>
                <w:color w:val="000000" w:themeColor="text1"/>
                <w:sz w:val="18"/>
                <w:szCs w:val="18"/>
                <w:highlight w:val="none"/>
                <w14:textFill>
                  <w14:solidFill>
                    <w14:schemeClr w14:val="tx1"/>
                  </w14:solidFill>
                </w14:textFill>
              </w:rPr>
              <w:t>8</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p>
        </w:tc>
        <w:tc>
          <w:tcPr>
            <w:tcW w:w="1097" w:type="dxa"/>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全厂实际排放总量</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r>
              <w:rPr>
                <w:rFonts w:hint="default" w:ascii="Times New Roman" w:hAnsi="Times New Roman" w:eastAsia="宋体" w:cs="Times New Roman"/>
                <w:color w:val="000000" w:themeColor="text1"/>
                <w:sz w:val="18"/>
                <w:szCs w:val="18"/>
                <w:highlight w:val="none"/>
                <w14:textFill>
                  <w14:solidFill>
                    <w14:schemeClr w14:val="tx1"/>
                  </w14:solidFill>
                </w14:textFill>
              </w:rPr>
              <w:t>9</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p>
        </w:tc>
        <w:tc>
          <w:tcPr>
            <w:tcW w:w="1281"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全厂核定排放总量</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r>
              <w:rPr>
                <w:rFonts w:hint="default" w:ascii="Times New Roman" w:hAnsi="Times New Roman" w:eastAsia="宋体" w:cs="Times New Roman"/>
                <w:color w:val="000000" w:themeColor="text1"/>
                <w:sz w:val="18"/>
                <w:szCs w:val="18"/>
                <w:highlight w:val="none"/>
                <w14:textFill>
                  <w14:solidFill>
                    <w14:schemeClr w14:val="tx1"/>
                  </w14:solidFill>
                </w14:textFill>
              </w:rPr>
              <w:t>10</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p>
        </w:tc>
        <w:tc>
          <w:tcPr>
            <w:tcW w:w="1000"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区域平衡替代削减量</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r>
              <w:rPr>
                <w:rFonts w:hint="default" w:ascii="Times New Roman" w:hAnsi="Times New Roman" w:eastAsia="宋体" w:cs="Times New Roman"/>
                <w:color w:val="000000" w:themeColor="text1"/>
                <w:sz w:val="18"/>
                <w:szCs w:val="18"/>
                <w:highlight w:val="none"/>
                <w14:textFill>
                  <w14:solidFill>
                    <w14:schemeClr w14:val="tx1"/>
                  </w14:solidFill>
                </w14:textFill>
              </w:rPr>
              <w:t>11</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p>
        </w:tc>
        <w:tc>
          <w:tcPr>
            <w:tcW w:w="1054"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排放增减</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r>
              <w:rPr>
                <w:rFonts w:hint="default" w:ascii="Times New Roman" w:hAnsi="Times New Roman" w:eastAsia="宋体" w:cs="Times New Roman"/>
                <w:color w:val="000000" w:themeColor="text1"/>
                <w:sz w:val="18"/>
                <w:szCs w:val="18"/>
                <w:highlight w:val="none"/>
                <w14:textFill>
                  <w14:solidFill>
                    <w14:schemeClr w14:val="tx1"/>
                  </w14:solidFill>
                </w14:textFill>
              </w:rPr>
              <w:t>12</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56" w:type="dxa"/>
            <w:gridSpan w:val="2"/>
            <w:vMerge w:val="continue"/>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999" w:type="dxa"/>
            <w:gridSpan w:val="2"/>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废水</w:t>
            </w:r>
          </w:p>
        </w:tc>
        <w:tc>
          <w:tcPr>
            <w:tcW w:w="1001"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111" w:type="dxa"/>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160" w:type="dxa"/>
            <w:gridSpan w:val="4"/>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22"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129"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82"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35"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236"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97" w:type="dxa"/>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281"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00"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54"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56" w:type="dxa"/>
            <w:gridSpan w:val="2"/>
            <w:vMerge w:val="continue"/>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999" w:type="dxa"/>
            <w:gridSpan w:val="2"/>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化学需氧量</w:t>
            </w:r>
          </w:p>
        </w:tc>
        <w:tc>
          <w:tcPr>
            <w:tcW w:w="1001"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111" w:type="dxa"/>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160" w:type="dxa"/>
            <w:gridSpan w:val="4"/>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22"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129"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82"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35"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236"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97" w:type="dxa"/>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281"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00"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54"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6" w:type="dxa"/>
            <w:gridSpan w:val="2"/>
            <w:vMerge w:val="continue"/>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999" w:type="dxa"/>
            <w:gridSpan w:val="2"/>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氨氮</w:t>
            </w:r>
          </w:p>
        </w:tc>
        <w:tc>
          <w:tcPr>
            <w:tcW w:w="1001"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111" w:type="dxa"/>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160" w:type="dxa"/>
            <w:gridSpan w:val="4"/>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22"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129"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82"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35"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236"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97" w:type="dxa"/>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281"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00"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54"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56" w:type="dxa"/>
            <w:gridSpan w:val="2"/>
            <w:vMerge w:val="continue"/>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999" w:type="dxa"/>
            <w:gridSpan w:val="2"/>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石油类</w:t>
            </w:r>
          </w:p>
        </w:tc>
        <w:tc>
          <w:tcPr>
            <w:tcW w:w="1001"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111" w:type="dxa"/>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160" w:type="dxa"/>
            <w:gridSpan w:val="4"/>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22"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129"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82"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35"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236"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97" w:type="dxa"/>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281"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00"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54"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56" w:type="dxa"/>
            <w:gridSpan w:val="2"/>
            <w:vMerge w:val="continue"/>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999" w:type="dxa"/>
            <w:gridSpan w:val="2"/>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废气</w:t>
            </w:r>
          </w:p>
        </w:tc>
        <w:tc>
          <w:tcPr>
            <w:tcW w:w="1001"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111" w:type="dxa"/>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160" w:type="dxa"/>
            <w:gridSpan w:val="4"/>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22"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129"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82"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35"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236"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97" w:type="dxa"/>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281"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00"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54"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56" w:type="dxa"/>
            <w:gridSpan w:val="2"/>
            <w:vMerge w:val="continue"/>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999" w:type="dxa"/>
            <w:gridSpan w:val="2"/>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二氧化硫</w:t>
            </w:r>
          </w:p>
        </w:tc>
        <w:tc>
          <w:tcPr>
            <w:tcW w:w="1001"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111" w:type="dxa"/>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160" w:type="dxa"/>
            <w:gridSpan w:val="4"/>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22"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129"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82"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35"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236"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97" w:type="dxa"/>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281"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00"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54"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56" w:type="dxa"/>
            <w:gridSpan w:val="2"/>
            <w:vMerge w:val="continue"/>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999" w:type="dxa"/>
            <w:gridSpan w:val="2"/>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烟尘</w:t>
            </w:r>
          </w:p>
        </w:tc>
        <w:tc>
          <w:tcPr>
            <w:tcW w:w="1001"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111" w:type="dxa"/>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160" w:type="dxa"/>
            <w:gridSpan w:val="4"/>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22"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129"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82"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35"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236"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97" w:type="dxa"/>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281"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00"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54"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56" w:type="dxa"/>
            <w:gridSpan w:val="2"/>
            <w:vMerge w:val="continue"/>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999" w:type="dxa"/>
            <w:gridSpan w:val="2"/>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工业粉尘</w:t>
            </w:r>
          </w:p>
        </w:tc>
        <w:tc>
          <w:tcPr>
            <w:tcW w:w="1001"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111" w:type="dxa"/>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160" w:type="dxa"/>
            <w:gridSpan w:val="4"/>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22"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129"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82"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35"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236"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97" w:type="dxa"/>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281"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00"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54"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56" w:type="dxa"/>
            <w:gridSpan w:val="2"/>
            <w:vMerge w:val="continue"/>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999" w:type="dxa"/>
            <w:gridSpan w:val="2"/>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氮氧化物</w:t>
            </w:r>
          </w:p>
        </w:tc>
        <w:tc>
          <w:tcPr>
            <w:tcW w:w="1001"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111" w:type="dxa"/>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160" w:type="dxa"/>
            <w:gridSpan w:val="4"/>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22"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129"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82"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val="en-US"/>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35"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236"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97" w:type="dxa"/>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281"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00"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54"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56" w:type="dxa"/>
            <w:gridSpan w:val="2"/>
            <w:vMerge w:val="continue"/>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999" w:type="dxa"/>
            <w:gridSpan w:val="2"/>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工业固体废物</w:t>
            </w:r>
          </w:p>
        </w:tc>
        <w:tc>
          <w:tcPr>
            <w:tcW w:w="1001"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111" w:type="dxa"/>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160" w:type="dxa"/>
            <w:gridSpan w:val="4"/>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22"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129"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82"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35"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236"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97" w:type="dxa"/>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281"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00"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54"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56" w:type="dxa"/>
            <w:gridSpan w:val="2"/>
            <w:vMerge w:val="continue"/>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118" w:type="dxa"/>
            <w:vMerge w:val="restart"/>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与项目有关的其他特征污染物</w:t>
            </w:r>
          </w:p>
        </w:tc>
        <w:tc>
          <w:tcPr>
            <w:tcW w:w="881" w:type="dxa"/>
            <w:vAlign w:val="center"/>
          </w:tcPr>
          <w:p>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001"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111" w:type="dxa"/>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160" w:type="dxa"/>
            <w:gridSpan w:val="4"/>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022"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129"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082"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035"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236"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097" w:type="dxa"/>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281"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000"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054"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56" w:type="dxa"/>
            <w:gridSpan w:val="2"/>
            <w:vMerge w:val="continue"/>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118" w:type="dxa"/>
            <w:vMerge w:val="continue"/>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881" w:type="dxa"/>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01"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111" w:type="dxa"/>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160" w:type="dxa"/>
            <w:gridSpan w:val="4"/>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22"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129"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82"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35"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236"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97" w:type="dxa"/>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281"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00"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54"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56" w:type="dxa"/>
            <w:gridSpan w:val="2"/>
            <w:vMerge w:val="continue"/>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118" w:type="dxa"/>
            <w:vMerge w:val="continue"/>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881" w:type="dxa"/>
            <w:vAlign w:val="center"/>
          </w:tcPr>
          <w:p>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01"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111" w:type="dxa"/>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160" w:type="dxa"/>
            <w:gridSpan w:val="4"/>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22"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129"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82"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35"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236"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97" w:type="dxa"/>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281"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00" w:type="dxa"/>
            <w:gridSpan w:val="3"/>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054" w:type="dxa"/>
            <w:gridSpan w:val="2"/>
            <w:vAlign w:val="center"/>
          </w:tcPr>
          <w:p>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r>
    </w:tbl>
    <w:p>
      <w:pPr>
        <w:rPr>
          <w:rFonts w:hint="default" w:ascii="Times New Roman" w:hAnsi="Times New Roman" w:eastAsia="宋体" w:cs="Times New Roman"/>
          <w:highlight w:val="none"/>
          <w:lang w:val="en-US" w:eastAsia="zh-CN"/>
        </w:rPr>
      </w:pPr>
      <w:r>
        <w:rPr>
          <w:rFonts w:hint="default" w:ascii="Times New Roman" w:hAnsi="Times New Roman" w:eastAsia="宋体" w:cs="Times New Roman"/>
          <w:color w:val="000000" w:themeColor="text1"/>
          <w:sz w:val="15"/>
          <w:szCs w:val="15"/>
          <w:highlight w:val="none"/>
          <w14:textFill>
            <w14:solidFill>
              <w14:schemeClr w14:val="tx1"/>
            </w14:solidFill>
          </w14:textFill>
        </w:rPr>
        <w:t>注：</w:t>
      </w:r>
      <w:r>
        <w:rPr>
          <w:rFonts w:hint="default" w:ascii="Times New Roman" w:hAnsi="Times New Roman" w:eastAsia="宋体" w:cs="Times New Roman"/>
          <w:color w:val="000000" w:themeColor="text1"/>
          <w:sz w:val="18"/>
          <w:szCs w:val="18"/>
          <w:highlight w:val="none"/>
          <w14:textFill>
            <w14:solidFill>
              <w14:schemeClr w14:val="tx1"/>
            </w14:solidFill>
          </w14:textFill>
        </w:rPr>
        <w:t>1</w:t>
      </w:r>
      <w:r>
        <w:rPr>
          <w:rFonts w:hint="default" w:ascii="Times New Roman" w:hAnsi="Times New Roman" w:eastAsia="宋体" w:cs="Times New Roman"/>
          <w:color w:val="000000" w:themeColor="text1"/>
          <w:sz w:val="15"/>
          <w:szCs w:val="15"/>
          <w:highlight w:val="none"/>
          <w14:textFill>
            <w14:solidFill>
              <w14:schemeClr w14:val="tx1"/>
            </w14:solidFill>
          </w14:textFill>
        </w:rPr>
        <w:t>、排放增减量：</w:t>
      </w:r>
      <w:r>
        <w:rPr>
          <w:rFonts w:hint="default" w:ascii="Times New Roman" w:hAnsi="Times New Roman" w:eastAsia="宋体"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+）表示增加，</w:t>
      </w:r>
      <w:r>
        <w:rPr>
          <w:rFonts w:hint="default" w:ascii="Times New Roman" w:hAnsi="Times New Roman" w:eastAsia="宋体"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-）表示减少；2、</w:t>
      </w:r>
      <w:r>
        <w:rPr>
          <w:rFonts w:hint="default" w:ascii="Times New Roman" w:hAnsi="Times New Roman" w:eastAsia="宋体"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12</w:t>
      </w:r>
      <w:r>
        <w:rPr>
          <w:rFonts w:hint="default" w:ascii="Times New Roman" w:hAnsi="Times New Roman" w:eastAsia="宋体"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w:t>
      </w:r>
      <w:r>
        <w:rPr>
          <w:rFonts w:hint="default" w:ascii="Times New Roman" w:hAnsi="Times New Roman" w:eastAsia="宋体"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6</w:t>
      </w:r>
      <w:r>
        <w:rPr>
          <w:rFonts w:hint="default" w:ascii="Times New Roman" w:hAnsi="Times New Roman" w:eastAsia="宋体"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w:t>
      </w:r>
      <w:r>
        <w:rPr>
          <w:rFonts w:hint="default" w:ascii="Times New Roman" w:hAnsi="Times New Roman" w:eastAsia="宋体"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8</w:t>
      </w:r>
      <w:r>
        <w:rPr>
          <w:rFonts w:hint="default" w:ascii="Times New Roman" w:hAnsi="Times New Roman" w:eastAsia="宋体"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w:t>
      </w:r>
      <w:r>
        <w:rPr>
          <w:rFonts w:hint="default" w:ascii="Times New Roman" w:hAnsi="Times New Roman" w:eastAsia="宋体"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11</w:t>
      </w:r>
      <w:r>
        <w:rPr>
          <w:rFonts w:hint="default" w:ascii="Times New Roman" w:hAnsi="Times New Roman" w:eastAsia="宋体"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w:t>
      </w:r>
      <w:r>
        <w:rPr>
          <w:rFonts w:hint="default" w:ascii="Times New Roman" w:hAnsi="Times New Roman" w:eastAsia="宋体"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9）=</w:t>
      </w:r>
      <w:r>
        <w:rPr>
          <w:rFonts w:hint="default" w:ascii="Times New Roman" w:hAnsi="Times New Roman" w:eastAsia="宋体"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4</w:t>
      </w:r>
      <w:r>
        <w:rPr>
          <w:rFonts w:hint="default" w:ascii="Times New Roman" w:hAnsi="Times New Roman" w:eastAsia="宋体"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w:t>
      </w:r>
      <w:r>
        <w:rPr>
          <w:rFonts w:hint="default" w:ascii="Times New Roman" w:hAnsi="Times New Roman" w:eastAsia="宋体"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5</w:t>
      </w:r>
      <w:r>
        <w:rPr>
          <w:rFonts w:hint="default" w:ascii="Times New Roman" w:hAnsi="Times New Roman" w:eastAsia="宋体"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w:t>
      </w:r>
      <w:r>
        <w:rPr>
          <w:rFonts w:hint="default" w:ascii="Times New Roman" w:hAnsi="Times New Roman" w:eastAsia="宋体"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8</w:t>
      </w:r>
      <w:r>
        <w:rPr>
          <w:rFonts w:hint="default" w:ascii="Times New Roman" w:hAnsi="Times New Roman" w:eastAsia="宋体"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w:t>
      </w:r>
      <w:r>
        <w:rPr>
          <w:rFonts w:hint="default" w:ascii="Times New Roman" w:hAnsi="Times New Roman" w:eastAsia="宋体"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11</w:t>
      </w:r>
      <w:r>
        <w:rPr>
          <w:rFonts w:hint="default" w:ascii="Times New Roman" w:hAnsi="Times New Roman" w:eastAsia="宋体"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w:t>
      </w:r>
      <w:r>
        <w:rPr>
          <w:rFonts w:hint="default" w:ascii="Times New Roman" w:hAnsi="Times New Roman" w:eastAsia="宋体"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1）；3、计量单位：废水排放量</w:t>
      </w:r>
      <w:r>
        <w:rPr>
          <w:rFonts w:hint="default" w:ascii="Times New Roman" w:hAnsi="Times New Roman" w:eastAsia="宋体"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万吨/年；废气排放量</w:t>
      </w:r>
      <w:r>
        <w:rPr>
          <w:rFonts w:hint="default" w:ascii="Times New Roman" w:hAnsi="Times New Roman" w:eastAsia="宋体" w:cs="Times New Roman"/>
          <w:color w:val="000000" w:themeColor="text1"/>
          <w:sz w:val="15"/>
          <w:szCs w:val="15"/>
          <w:highlight w:val="none"/>
          <w:lang w:eastAsia="zh-CN"/>
          <w14:textFill>
            <w14:solidFill>
              <w14:schemeClr w14:val="tx1"/>
            </w14:solidFill>
          </w14:textFill>
        </w:rPr>
        <w:t>--</w:t>
      </w:r>
      <w:r>
        <w:rPr>
          <w:rFonts w:hint="default" w:ascii="Times New Roman" w:hAnsi="Times New Roman" w:eastAsia="宋体" w:cs="Times New Roman"/>
          <w:color w:val="000000" w:themeColor="text1"/>
          <w:sz w:val="15"/>
          <w:szCs w:val="15"/>
          <w:highlight w:val="none"/>
          <w14:textFill>
            <w14:solidFill>
              <w14:schemeClr w14:val="tx1"/>
            </w14:solidFill>
          </w14:textFill>
        </w:rPr>
        <w:t>万标立方米/年；工业固体废物</w:t>
      </w:r>
      <w:r>
        <w:rPr>
          <w:rFonts w:hint="default" w:ascii="Times New Roman" w:hAnsi="Times New Roman" w:eastAsia="宋体" w:cs="Times New Roman"/>
          <w:sz w:val="15"/>
          <w:szCs w:val="15"/>
          <w:highlight w:val="none"/>
        </w:rPr>
        <w:t>排放量</w:t>
      </w:r>
      <w:r>
        <w:rPr>
          <w:rFonts w:hint="default" w:ascii="Times New Roman" w:hAnsi="Times New Roman" w:eastAsia="宋体" w:cs="Times New Roman"/>
          <w:sz w:val="15"/>
          <w:szCs w:val="15"/>
          <w:highlight w:val="none"/>
          <w:lang w:eastAsia="zh-CN"/>
        </w:rPr>
        <w:t>--</w:t>
      </w:r>
      <w:r>
        <w:rPr>
          <w:rFonts w:hint="default" w:ascii="Times New Roman" w:hAnsi="Times New Roman" w:eastAsia="宋体" w:cs="Times New Roman"/>
          <w:sz w:val="15"/>
          <w:szCs w:val="15"/>
          <w:highlight w:val="none"/>
        </w:rPr>
        <w:t>万吨/年；水污染物排放浓</w:t>
      </w:r>
      <w:r>
        <w:rPr>
          <w:rFonts w:hint="default" w:ascii="Times New Roman" w:hAnsi="Times New Roman" w:eastAsia="宋体" w:cs="Times New Roman"/>
          <w:sz w:val="15"/>
          <w:szCs w:val="15"/>
          <w:highlight w:val="none"/>
          <w:lang w:eastAsia="zh-CN"/>
        </w:rPr>
        <w:t>--</w:t>
      </w:r>
      <w:r>
        <w:rPr>
          <w:rFonts w:hint="default" w:ascii="Times New Roman" w:hAnsi="Times New Roman" w:eastAsia="宋体" w:cs="Times New Roman"/>
          <w:sz w:val="15"/>
          <w:szCs w:val="15"/>
          <w:highlight w:val="none"/>
        </w:rPr>
        <w:t>毫克/升；大气污染物排放浓度</w:t>
      </w:r>
      <w:r>
        <w:rPr>
          <w:rFonts w:hint="default" w:ascii="Times New Roman" w:hAnsi="Times New Roman" w:eastAsia="宋体" w:cs="Times New Roman"/>
          <w:sz w:val="15"/>
          <w:szCs w:val="15"/>
          <w:highlight w:val="none"/>
          <w:lang w:eastAsia="zh-CN"/>
        </w:rPr>
        <w:t>--</w:t>
      </w:r>
      <w:r>
        <w:rPr>
          <w:rFonts w:hint="default" w:ascii="Times New Roman" w:hAnsi="Times New Roman" w:eastAsia="宋体" w:cs="Times New Roman"/>
          <w:sz w:val="15"/>
          <w:szCs w:val="15"/>
          <w:highlight w:val="none"/>
        </w:rPr>
        <w:t>毫克/立方米；水污染物排放量</w:t>
      </w:r>
      <w:r>
        <w:rPr>
          <w:rFonts w:hint="default" w:ascii="Times New Roman" w:hAnsi="Times New Roman" w:eastAsia="宋体" w:cs="Times New Roman"/>
          <w:sz w:val="15"/>
          <w:szCs w:val="15"/>
          <w:highlight w:val="none"/>
          <w:lang w:eastAsia="zh-CN"/>
        </w:rPr>
        <w:t>--</w:t>
      </w:r>
      <w:r>
        <w:rPr>
          <w:rFonts w:hint="default" w:ascii="Times New Roman" w:hAnsi="Times New Roman" w:eastAsia="宋体" w:cs="Times New Roman"/>
          <w:sz w:val="15"/>
          <w:szCs w:val="15"/>
          <w:highlight w:val="none"/>
        </w:rPr>
        <w:t>吨/年；大气污染物排放量</w:t>
      </w:r>
      <w:r>
        <w:rPr>
          <w:rFonts w:hint="default" w:ascii="Times New Roman" w:hAnsi="Times New Roman" w:eastAsia="宋体" w:cs="Times New Roman"/>
          <w:sz w:val="15"/>
          <w:szCs w:val="15"/>
          <w:highlight w:val="none"/>
          <w:lang w:eastAsia="zh-CN"/>
        </w:rPr>
        <w:t>--</w:t>
      </w:r>
      <w:r>
        <w:rPr>
          <w:rFonts w:hint="default" w:ascii="Times New Roman" w:hAnsi="Times New Roman" w:eastAsia="宋体" w:cs="Times New Roman"/>
          <w:sz w:val="15"/>
          <w:szCs w:val="15"/>
          <w:highlight w:val="none"/>
        </w:rPr>
        <w:t>吨/年</w:t>
      </w:r>
    </w:p>
    <w:sectPr>
      <w:headerReference r:id="rId8" w:type="default"/>
      <w:footerReference r:id="rId9" w:type="default"/>
      <w:pgSz w:w="16781" w:h="11849" w:orient="landscape"/>
      <w:pgMar w:top="567" w:right="567" w:bottom="567" w:left="567" w:header="170" w:footer="340" w:gutter="0"/>
      <w:pgBorders>
        <w:top w:val="none" w:sz="0" w:space="0"/>
        <w:left w:val="none" w:sz="0" w:space="0"/>
        <w:bottom w:val="none" w:sz="0" w:space="0"/>
        <w:right w:val="none" w:sz="0" w:space="0"/>
      </w:pgBorders>
      <w:cols w:space="0" w:num="1"/>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hint="eastAsia" w:eastAsiaTheme="minorEastAsia"/>
        <w:lang w:eastAsia="zh-CN"/>
      </w:rPr>
    </w:pPr>
    <w:r>
      <w:fldChar w:fldCharType="begin"/>
    </w:r>
    <w:r>
      <w:rPr>
        <w:rStyle w:val="26"/>
      </w:rPr>
      <w:instrText xml:space="preserve">PAGE  </w:instrText>
    </w:r>
    <w:r>
      <w:fldChar w:fldCharType="separate"/>
    </w:r>
    <w:r>
      <w:rPr>
        <w:rStyle w:val="26"/>
      </w:rPr>
      <w:t>11</w:t>
    </w:r>
    <w:r>
      <w:fldChar w:fldCharType="end"/>
    </w:r>
    <w:r>
      <w:rPr>
        <w:rFonts w:hint="eastAsia"/>
        <w:lang w:val="en-US" w:eastAsia="zh-CN"/>
      </w:rPr>
      <w:t>新疆中测环保科技</w:t>
    </w:r>
    <w:r>
      <w:rPr>
        <w:rFonts w:hint="eastAsia"/>
        <w:lang w:eastAsia="zh-CN"/>
      </w:rPr>
      <w:t>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25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25</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绿色装配式建筑产业园扩建项目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both"/>
      <w:rPr>
        <w:rFonts w:hint="eastAsia" w:ascii="宋体" w:hAnsi="宋体" w:eastAsia="宋体" w:cs="宋体"/>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hint="eastAsia" w:eastAsiaTheme="minorEastAsia"/>
        <w:lang w:eastAsia="zh-CN"/>
      </w:rPr>
    </w:pPr>
    <w:r>
      <w:rPr>
        <w:rFonts w:hint="eastAsia" w:cs="Times New Roman"/>
        <w:color w:val="000000" w:themeColor="text1"/>
        <w:sz w:val="21"/>
        <w:szCs w:val="21"/>
        <w:lang w:val="en-US" w:eastAsia="zh-CN"/>
        <w14:textFill>
          <w14:solidFill>
            <w14:schemeClr w14:val="tx1"/>
          </w14:solidFill>
        </w14:textFill>
      </w:rPr>
      <w:t>绿色装配式建筑产业园扩</w:t>
    </w:r>
    <w:r>
      <w:rPr>
        <w:rFonts w:hint="eastAsia" w:ascii="Times New Roman" w:hAnsi="Times New Roman" w:eastAsia="宋体" w:cs="Times New Roman"/>
        <w:color w:val="000000" w:themeColor="text1"/>
        <w:sz w:val="21"/>
        <w:szCs w:val="21"/>
        <w:lang w:eastAsia="zh-CN"/>
        <w14:textFill>
          <w14:solidFill>
            <w14:schemeClr w14:val="tx1"/>
          </w14:solidFill>
        </w14:textFill>
      </w:rPr>
      <w:t>建项目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49A82B"/>
    <w:multiLevelType w:val="singleLevel"/>
    <w:tmpl w:val="9349A82B"/>
    <w:lvl w:ilvl="0" w:tentative="0">
      <w:start w:val="4"/>
      <w:numFmt w:val="decimal"/>
      <w:suff w:val="nothing"/>
      <w:lvlText w:val="（%1）"/>
      <w:lvlJc w:val="left"/>
    </w:lvl>
  </w:abstractNum>
  <w:abstractNum w:abstractNumId="1">
    <w:nsid w:val="A183A12B"/>
    <w:multiLevelType w:val="singleLevel"/>
    <w:tmpl w:val="A183A12B"/>
    <w:lvl w:ilvl="0" w:tentative="0">
      <w:start w:val="1"/>
      <w:numFmt w:val="decimal"/>
      <w:suff w:val="nothing"/>
      <w:lvlText w:val="（%1）"/>
      <w:lvlJc w:val="left"/>
      <w:pPr>
        <w:tabs>
          <w:tab w:val="left" w:pos="0"/>
        </w:tabs>
        <w:ind w:left="0" w:firstLine="0"/>
      </w:pPr>
    </w:lvl>
  </w:abstractNum>
  <w:abstractNum w:abstractNumId="2">
    <w:nsid w:val="C26A2A29"/>
    <w:multiLevelType w:val="singleLevel"/>
    <w:tmpl w:val="C26A2A29"/>
    <w:lvl w:ilvl="0" w:tentative="0">
      <w:start w:val="1"/>
      <w:numFmt w:val="bullet"/>
      <w:pStyle w:val="8"/>
      <w:lvlText w:val=""/>
      <w:lvlJc w:val="left"/>
      <w:pPr>
        <w:tabs>
          <w:tab w:val="left" w:pos="2040"/>
        </w:tabs>
        <w:ind w:left="2040" w:hanging="360"/>
      </w:pPr>
      <w:rPr>
        <w:rFonts w:hint="default" w:ascii="Wingdings" w:hAnsi="Wingdings"/>
      </w:rPr>
    </w:lvl>
  </w:abstractNum>
  <w:abstractNum w:abstractNumId="3">
    <w:nsid w:val="02AFBEF3"/>
    <w:multiLevelType w:val="singleLevel"/>
    <w:tmpl w:val="02AFBEF3"/>
    <w:lvl w:ilvl="0" w:tentative="0">
      <w:start w:val="1"/>
      <w:numFmt w:val="chineseCounting"/>
      <w:suff w:val="nothing"/>
      <w:lvlText w:val="%1、"/>
      <w:lvlJc w:val="left"/>
      <w:rPr>
        <w:rFonts w:hint="eastAsia"/>
      </w:rPr>
    </w:lvl>
  </w:abstractNum>
  <w:abstractNum w:abstractNumId="4">
    <w:nsid w:val="149732D2"/>
    <w:multiLevelType w:val="singleLevel"/>
    <w:tmpl w:val="149732D2"/>
    <w:lvl w:ilvl="0" w:tentative="0">
      <w:start w:val="1"/>
      <w:numFmt w:val="decimal"/>
      <w:suff w:val="nothing"/>
      <w:lvlText w:val="%1、"/>
      <w:lvlJc w:val="left"/>
    </w:lvl>
  </w:abstractNum>
  <w:abstractNum w:abstractNumId="5">
    <w:nsid w:val="15E913A7"/>
    <w:multiLevelType w:val="singleLevel"/>
    <w:tmpl w:val="15E913A7"/>
    <w:lvl w:ilvl="0" w:tentative="0">
      <w:start w:val="2"/>
      <w:numFmt w:val="decimal"/>
      <w:suff w:val="nothing"/>
      <w:lvlText w:val="%1、"/>
      <w:lvlJc w:val="left"/>
    </w:lvl>
  </w:abstractNum>
  <w:abstractNum w:abstractNumId="6">
    <w:nsid w:val="39281ECE"/>
    <w:multiLevelType w:val="singleLevel"/>
    <w:tmpl w:val="39281ECE"/>
    <w:lvl w:ilvl="0" w:tentative="0">
      <w:start w:val="1"/>
      <w:numFmt w:val="decimal"/>
      <w:suff w:val="nothing"/>
      <w:lvlText w:val="（%1）"/>
      <w:lvlJc w:val="left"/>
    </w:lvl>
  </w:abstractNum>
  <w:abstractNum w:abstractNumId="7">
    <w:nsid w:val="596356E8"/>
    <w:multiLevelType w:val="singleLevel"/>
    <w:tmpl w:val="596356E8"/>
    <w:lvl w:ilvl="0" w:tentative="0">
      <w:start w:val="1"/>
      <w:numFmt w:val="chineseCounting"/>
      <w:suff w:val="nothing"/>
      <w:lvlText w:val="%1、"/>
      <w:lvlJc w:val="left"/>
    </w:lvl>
  </w:abstractNum>
  <w:abstractNum w:abstractNumId="8">
    <w:nsid w:val="7009F457"/>
    <w:multiLevelType w:val="singleLevel"/>
    <w:tmpl w:val="7009F457"/>
    <w:lvl w:ilvl="0" w:tentative="0">
      <w:start w:val="1"/>
      <w:numFmt w:val="decimal"/>
      <w:suff w:val="nothing"/>
      <w:lvlText w:val="（%1）"/>
      <w:lvlJc w:val="left"/>
      <w:pPr>
        <w:ind w:left="240"/>
      </w:pPr>
    </w:lvl>
  </w:abstractNum>
  <w:num w:numId="1">
    <w:abstractNumId w:val="2"/>
  </w:num>
  <w:num w:numId="2">
    <w:abstractNumId w:val="5"/>
  </w:num>
  <w:num w:numId="3">
    <w:abstractNumId w:val="8"/>
  </w:num>
  <w:num w:numId="4">
    <w:abstractNumId w:val="1"/>
  </w:num>
  <w:num w:numId="5">
    <w:abstractNumId w:val="7"/>
  </w:num>
  <w:num w:numId="6">
    <w:abstractNumId w:val="4"/>
  </w:num>
  <w:num w:numId="7">
    <w:abstractNumId w:val="3"/>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FmZDI4MTliOGJlZTllNWFmYjFiZTA3NGY4MzNkMmEifQ=="/>
  </w:docVars>
  <w:rsids>
    <w:rsidRoot w:val="00FA36D4"/>
    <w:rsid w:val="00086A24"/>
    <w:rsid w:val="000B560A"/>
    <w:rsid w:val="001627FF"/>
    <w:rsid w:val="001B4E4F"/>
    <w:rsid w:val="003202B9"/>
    <w:rsid w:val="004577A5"/>
    <w:rsid w:val="004B2D62"/>
    <w:rsid w:val="006E33D7"/>
    <w:rsid w:val="00762688"/>
    <w:rsid w:val="007E0414"/>
    <w:rsid w:val="007E1C10"/>
    <w:rsid w:val="00893E1B"/>
    <w:rsid w:val="009420DD"/>
    <w:rsid w:val="009B7945"/>
    <w:rsid w:val="009E22F7"/>
    <w:rsid w:val="00A2732A"/>
    <w:rsid w:val="00B96560"/>
    <w:rsid w:val="00C24740"/>
    <w:rsid w:val="00CA2FF1"/>
    <w:rsid w:val="00E13509"/>
    <w:rsid w:val="00FA36D4"/>
    <w:rsid w:val="010C65F4"/>
    <w:rsid w:val="012F0E3C"/>
    <w:rsid w:val="01E35C12"/>
    <w:rsid w:val="02062476"/>
    <w:rsid w:val="0237519F"/>
    <w:rsid w:val="02595AE6"/>
    <w:rsid w:val="028372A6"/>
    <w:rsid w:val="02900560"/>
    <w:rsid w:val="02D07959"/>
    <w:rsid w:val="03D330B6"/>
    <w:rsid w:val="042559D6"/>
    <w:rsid w:val="044649D4"/>
    <w:rsid w:val="04595B6F"/>
    <w:rsid w:val="04AE694A"/>
    <w:rsid w:val="051327F8"/>
    <w:rsid w:val="051E25B2"/>
    <w:rsid w:val="05C127CF"/>
    <w:rsid w:val="05E65BAD"/>
    <w:rsid w:val="05F93506"/>
    <w:rsid w:val="0601795F"/>
    <w:rsid w:val="061E31F2"/>
    <w:rsid w:val="067270CD"/>
    <w:rsid w:val="06932B31"/>
    <w:rsid w:val="069C3B41"/>
    <w:rsid w:val="073F2CB4"/>
    <w:rsid w:val="07B12B21"/>
    <w:rsid w:val="080F47A4"/>
    <w:rsid w:val="0890168F"/>
    <w:rsid w:val="08E869A6"/>
    <w:rsid w:val="09027DFB"/>
    <w:rsid w:val="09250BE9"/>
    <w:rsid w:val="097C6EAC"/>
    <w:rsid w:val="099047A2"/>
    <w:rsid w:val="09DC0949"/>
    <w:rsid w:val="09E011E8"/>
    <w:rsid w:val="0A0E094A"/>
    <w:rsid w:val="0A3D77AF"/>
    <w:rsid w:val="0A40174A"/>
    <w:rsid w:val="0A6F5028"/>
    <w:rsid w:val="0A901D10"/>
    <w:rsid w:val="0ABC41FC"/>
    <w:rsid w:val="0B1A4111"/>
    <w:rsid w:val="0B23138C"/>
    <w:rsid w:val="0B2B2563"/>
    <w:rsid w:val="0B8D5727"/>
    <w:rsid w:val="0BC41CED"/>
    <w:rsid w:val="0BE9601E"/>
    <w:rsid w:val="0C8E4A4E"/>
    <w:rsid w:val="0CB02C4F"/>
    <w:rsid w:val="0D531E27"/>
    <w:rsid w:val="0D585BA6"/>
    <w:rsid w:val="0DF9022C"/>
    <w:rsid w:val="0E1E68D6"/>
    <w:rsid w:val="0E602EEC"/>
    <w:rsid w:val="0E613979"/>
    <w:rsid w:val="0E6731E9"/>
    <w:rsid w:val="0E6B57B7"/>
    <w:rsid w:val="0E6C3D3D"/>
    <w:rsid w:val="0EDF01E3"/>
    <w:rsid w:val="0EDF5D05"/>
    <w:rsid w:val="0EEA3E72"/>
    <w:rsid w:val="0EED2D8F"/>
    <w:rsid w:val="0F3F692C"/>
    <w:rsid w:val="0F484439"/>
    <w:rsid w:val="0F5110D7"/>
    <w:rsid w:val="0F824051"/>
    <w:rsid w:val="0F8A0867"/>
    <w:rsid w:val="0F8D29D7"/>
    <w:rsid w:val="0FDD3102"/>
    <w:rsid w:val="0FFD2B40"/>
    <w:rsid w:val="100D2BE2"/>
    <w:rsid w:val="100E39DE"/>
    <w:rsid w:val="1010537C"/>
    <w:rsid w:val="101D583E"/>
    <w:rsid w:val="10561846"/>
    <w:rsid w:val="10A437DA"/>
    <w:rsid w:val="11506BC8"/>
    <w:rsid w:val="115365D2"/>
    <w:rsid w:val="116E411C"/>
    <w:rsid w:val="11A116C3"/>
    <w:rsid w:val="11ED3810"/>
    <w:rsid w:val="1266346A"/>
    <w:rsid w:val="134428B7"/>
    <w:rsid w:val="137D62F0"/>
    <w:rsid w:val="13A716D4"/>
    <w:rsid w:val="13C64C69"/>
    <w:rsid w:val="13D7745D"/>
    <w:rsid w:val="13E259C0"/>
    <w:rsid w:val="13E448B6"/>
    <w:rsid w:val="13FF28F0"/>
    <w:rsid w:val="14104AFF"/>
    <w:rsid w:val="14264A41"/>
    <w:rsid w:val="1460749A"/>
    <w:rsid w:val="14716350"/>
    <w:rsid w:val="147F7804"/>
    <w:rsid w:val="14824873"/>
    <w:rsid w:val="14853478"/>
    <w:rsid w:val="14854434"/>
    <w:rsid w:val="154E3FF8"/>
    <w:rsid w:val="161D1CB1"/>
    <w:rsid w:val="162F7641"/>
    <w:rsid w:val="16483EC6"/>
    <w:rsid w:val="16512D57"/>
    <w:rsid w:val="165B58B9"/>
    <w:rsid w:val="16D7682F"/>
    <w:rsid w:val="16E06B1E"/>
    <w:rsid w:val="173B002D"/>
    <w:rsid w:val="17583A81"/>
    <w:rsid w:val="176927C4"/>
    <w:rsid w:val="17901038"/>
    <w:rsid w:val="17A67826"/>
    <w:rsid w:val="17FA5942"/>
    <w:rsid w:val="18200821"/>
    <w:rsid w:val="182C56C0"/>
    <w:rsid w:val="186C706F"/>
    <w:rsid w:val="18810C8E"/>
    <w:rsid w:val="188C4879"/>
    <w:rsid w:val="18A51B3C"/>
    <w:rsid w:val="18C646C6"/>
    <w:rsid w:val="19655E14"/>
    <w:rsid w:val="19D540AA"/>
    <w:rsid w:val="1A11627C"/>
    <w:rsid w:val="1A6C724D"/>
    <w:rsid w:val="1A83218D"/>
    <w:rsid w:val="1AC80009"/>
    <w:rsid w:val="1AEC1406"/>
    <w:rsid w:val="1B207590"/>
    <w:rsid w:val="1B3A6C6D"/>
    <w:rsid w:val="1B8F6817"/>
    <w:rsid w:val="1B92248D"/>
    <w:rsid w:val="1B9C7EAB"/>
    <w:rsid w:val="1BDA3545"/>
    <w:rsid w:val="1C204A0A"/>
    <w:rsid w:val="1C3A4393"/>
    <w:rsid w:val="1C6163C6"/>
    <w:rsid w:val="1CA50280"/>
    <w:rsid w:val="1CB96408"/>
    <w:rsid w:val="1DCD7463"/>
    <w:rsid w:val="1E5B7308"/>
    <w:rsid w:val="1ED07DA8"/>
    <w:rsid w:val="1EF331E9"/>
    <w:rsid w:val="1F0F5041"/>
    <w:rsid w:val="1FAF1E06"/>
    <w:rsid w:val="20481DE6"/>
    <w:rsid w:val="20C15A9B"/>
    <w:rsid w:val="20CB16C5"/>
    <w:rsid w:val="20D72556"/>
    <w:rsid w:val="20EC75B1"/>
    <w:rsid w:val="21245C24"/>
    <w:rsid w:val="212B2710"/>
    <w:rsid w:val="21351A11"/>
    <w:rsid w:val="21673182"/>
    <w:rsid w:val="21FF4185"/>
    <w:rsid w:val="22327245"/>
    <w:rsid w:val="22452853"/>
    <w:rsid w:val="22DD5726"/>
    <w:rsid w:val="232A00CF"/>
    <w:rsid w:val="2333746E"/>
    <w:rsid w:val="235C2816"/>
    <w:rsid w:val="238D08F9"/>
    <w:rsid w:val="23C259A8"/>
    <w:rsid w:val="23CA56DD"/>
    <w:rsid w:val="23F36D71"/>
    <w:rsid w:val="244232DB"/>
    <w:rsid w:val="244373C5"/>
    <w:rsid w:val="2457721B"/>
    <w:rsid w:val="245F6BE5"/>
    <w:rsid w:val="246C6DC2"/>
    <w:rsid w:val="246E06BE"/>
    <w:rsid w:val="24AD21AF"/>
    <w:rsid w:val="24C17F78"/>
    <w:rsid w:val="24DD59FE"/>
    <w:rsid w:val="24F12311"/>
    <w:rsid w:val="24FF4C67"/>
    <w:rsid w:val="25021151"/>
    <w:rsid w:val="25142C4D"/>
    <w:rsid w:val="25353D16"/>
    <w:rsid w:val="254D4CF3"/>
    <w:rsid w:val="25502046"/>
    <w:rsid w:val="258972E7"/>
    <w:rsid w:val="25B53E52"/>
    <w:rsid w:val="25CE445C"/>
    <w:rsid w:val="2606431C"/>
    <w:rsid w:val="26BC4B1D"/>
    <w:rsid w:val="26CC6876"/>
    <w:rsid w:val="26CF7280"/>
    <w:rsid w:val="26E15D6A"/>
    <w:rsid w:val="27A321CF"/>
    <w:rsid w:val="28320EA0"/>
    <w:rsid w:val="28784A96"/>
    <w:rsid w:val="28D551BF"/>
    <w:rsid w:val="29274DAD"/>
    <w:rsid w:val="29792AEA"/>
    <w:rsid w:val="2A1F67E6"/>
    <w:rsid w:val="2A6520E7"/>
    <w:rsid w:val="2A7C4730"/>
    <w:rsid w:val="2A882460"/>
    <w:rsid w:val="2A950917"/>
    <w:rsid w:val="2B496F55"/>
    <w:rsid w:val="2B7F2677"/>
    <w:rsid w:val="2C1B20F6"/>
    <w:rsid w:val="2DAD18B2"/>
    <w:rsid w:val="2DC602BE"/>
    <w:rsid w:val="2DDC0056"/>
    <w:rsid w:val="2DEC1504"/>
    <w:rsid w:val="2DFF3559"/>
    <w:rsid w:val="2E222A17"/>
    <w:rsid w:val="2E4700D2"/>
    <w:rsid w:val="2E477FCD"/>
    <w:rsid w:val="2E8D314E"/>
    <w:rsid w:val="2ECE3A3F"/>
    <w:rsid w:val="2ED17904"/>
    <w:rsid w:val="2F6D7037"/>
    <w:rsid w:val="2FFB1857"/>
    <w:rsid w:val="300E28D4"/>
    <w:rsid w:val="30207CF8"/>
    <w:rsid w:val="303E1A04"/>
    <w:rsid w:val="30F66327"/>
    <w:rsid w:val="314B45BC"/>
    <w:rsid w:val="314C521D"/>
    <w:rsid w:val="31585B81"/>
    <w:rsid w:val="31823C6E"/>
    <w:rsid w:val="319E368E"/>
    <w:rsid w:val="31FB556A"/>
    <w:rsid w:val="32024ECF"/>
    <w:rsid w:val="327116D5"/>
    <w:rsid w:val="329B595C"/>
    <w:rsid w:val="32AC20EF"/>
    <w:rsid w:val="32AD5E40"/>
    <w:rsid w:val="32C93AF4"/>
    <w:rsid w:val="32EA2B39"/>
    <w:rsid w:val="330C4DBA"/>
    <w:rsid w:val="33683D00"/>
    <w:rsid w:val="336977DD"/>
    <w:rsid w:val="3372176A"/>
    <w:rsid w:val="338B5C83"/>
    <w:rsid w:val="33A47EF4"/>
    <w:rsid w:val="33FA29E7"/>
    <w:rsid w:val="346F2D08"/>
    <w:rsid w:val="350822F1"/>
    <w:rsid w:val="35805C0D"/>
    <w:rsid w:val="35983FCD"/>
    <w:rsid w:val="35D13191"/>
    <w:rsid w:val="3647438C"/>
    <w:rsid w:val="36E94EEA"/>
    <w:rsid w:val="374D52FC"/>
    <w:rsid w:val="378261B3"/>
    <w:rsid w:val="37BA3B55"/>
    <w:rsid w:val="381A33F2"/>
    <w:rsid w:val="38213952"/>
    <w:rsid w:val="386D6CE9"/>
    <w:rsid w:val="38C92ADF"/>
    <w:rsid w:val="39016143"/>
    <w:rsid w:val="395D47EB"/>
    <w:rsid w:val="39656AAE"/>
    <w:rsid w:val="39794DA8"/>
    <w:rsid w:val="39EB28EF"/>
    <w:rsid w:val="39EF2C7A"/>
    <w:rsid w:val="39F123C2"/>
    <w:rsid w:val="3A44671D"/>
    <w:rsid w:val="3AF87B68"/>
    <w:rsid w:val="3B502214"/>
    <w:rsid w:val="3B6E5F8E"/>
    <w:rsid w:val="3C021516"/>
    <w:rsid w:val="3C93307F"/>
    <w:rsid w:val="3CD43303"/>
    <w:rsid w:val="3D252E0F"/>
    <w:rsid w:val="3D2E5EAA"/>
    <w:rsid w:val="3D935ECD"/>
    <w:rsid w:val="3E103095"/>
    <w:rsid w:val="3E285C74"/>
    <w:rsid w:val="3E370B84"/>
    <w:rsid w:val="3E4A1A60"/>
    <w:rsid w:val="3EE7065A"/>
    <w:rsid w:val="3F6B727F"/>
    <w:rsid w:val="3F817604"/>
    <w:rsid w:val="3F8D75C7"/>
    <w:rsid w:val="4064058E"/>
    <w:rsid w:val="40BC7157"/>
    <w:rsid w:val="415D3D85"/>
    <w:rsid w:val="41DE5564"/>
    <w:rsid w:val="41E811C6"/>
    <w:rsid w:val="421809AD"/>
    <w:rsid w:val="42217B8B"/>
    <w:rsid w:val="42432631"/>
    <w:rsid w:val="42561B35"/>
    <w:rsid w:val="429753EB"/>
    <w:rsid w:val="42CF5BC3"/>
    <w:rsid w:val="431E0E2E"/>
    <w:rsid w:val="432B53BA"/>
    <w:rsid w:val="43345C26"/>
    <w:rsid w:val="433B6FA3"/>
    <w:rsid w:val="43D221D6"/>
    <w:rsid w:val="43EE00B0"/>
    <w:rsid w:val="43F34D94"/>
    <w:rsid w:val="440D48E0"/>
    <w:rsid w:val="445073B7"/>
    <w:rsid w:val="44517FC2"/>
    <w:rsid w:val="44E26100"/>
    <w:rsid w:val="452F02EB"/>
    <w:rsid w:val="457A5BBF"/>
    <w:rsid w:val="45A23376"/>
    <w:rsid w:val="45A952DD"/>
    <w:rsid w:val="45C606D0"/>
    <w:rsid w:val="45C67C93"/>
    <w:rsid w:val="45EF7E58"/>
    <w:rsid w:val="45FB35AD"/>
    <w:rsid w:val="465E1CCD"/>
    <w:rsid w:val="46DA500E"/>
    <w:rsid w:val="46F511CF"/>
    <w:rsid w:val="473D08D3"/>
    <w:rsid w:val="477933EA"/>
    <w:rsid w:val="478565A5"/>
    <w:rsid w:val="47D03DEE"/>
    <w:rsid w:val="47D261E9"/>
    <w:rsid w:val="47E87EA4"/>
    <w:rsid w:val="48366AF6"/>
    <w:rsid w:val="484A0C5B"/>
    <w:rsid w:val="484F68E5"/>
    <w:rsid w:val="48992E16"/>
    <w:rsid w:val="48B66720"/>
    <w:rsid w:val="48BB2867"/>
    <w:rsid w:val="48ED57DC"/>
    <w:rsid w:val="48F43E86"/>
    <w:rsid w:val="490506B9"/>
    <w:rsid w:val="491C5557"/>
    <w:rsid w:val="499A71BA"/>
    <w:rsid w:val="49A509E0"/>
    <w:rsid w:val="49AB2695"/>
    <w:rsid w:val="4A207743"/>
    <w:rsid w:val="4A427187"/>
    <w:rsid w:val="4A547568"/>
    <w:rsid w:val="4A5475BB"/>
    <w:rsid w:val="4AB91E4B"/>
    <w:rsid w:val="4B117A6A"/>
    <w:rsid w:val="4B385269"/>
    <w:rsid w:val="4B642708"/>
    <w:rsid w:val="4B6805B9"/>
    <w:rsid w:val="4BC524CB"/>
    <w:rsid w:val="4C263F82"/>
    <w:rsid w:val="4C776C18"/>
    <w:rsid w:val="4C7900B8"/>
    <w:rsid w:val="4C9951ED"/>
    <w:rsid w:val="4C9D1223"/>
    <w:rsid w:val="4CF437E1"/>
    <w:rsid w:val="4D74499A"/>
    <w:rsid w:val="4D74511E"/>
    <w:rsid w:val="4D7E3347"/>
    <w:rsid w:val="4DFF1E22"/>
    <w:rsid w:val="4E2042DE"/>
    <w:rsid w:val="4E3E06FE"/>
    <w:rsid w:val="4EBC1EB9"/>
    <w:rsid w:val="4EDA4F66"/>
    <w:rsid w:val="4F0E34F1"/>
    <w:rsid w:val="4F453C7A"/>
    <w:rsid w:val="4F602FFD"/>
    <w:rsid w:val="4F6732F9"/>
    <w:rsid w:val="4F71699F"/>
    <w:rsid w:val="4F853881"/>
    <w:rsid w:val="50657224"/>
    <w:rsid w:val="50743D82"/>
    <w:rsid w:val="50F96E2B"/>
    <w:rsid w:val="512B25AC"/>
    <w:rsid w:val="516E1893"/>
    <w:rsid w:val="51A07A29"/>
    <w:rsid w:val="52687955"/>
    <w:rsid w:val="52876220"/>
    <w:rsid w:val="52E7695D"/>
    <w:rsid w:val="52F45126"/>
    <w:rsid w:val="53443453"/>
    <w:rsid w:val="53AB3870"/>
    <w:rsid w:val="53CA5166"/>
    <w:rsid w:val="53F830B9"/>
    <w:rsid w:val="547756DB"/>
    <w:rsid w:val="54C2730A"/>
    <w:rsid w:val="54DF2F24"/>
    <w:rsid w:val="55100B95"/>
    <w:rsid w:val="554415BA"/>
    <w:rsid w:val="5554646D"/>
    <w:rsid w:val="556447C6"/>
    <w:rsid w:val="559844B1"/>
    <w:rsid w:val="559D4A1B"/>
    <w:rsid w:val="55A43789"/>
    <w:rsid w:val="55B84BB3"/>
    <w:rsid w:val="563A73A1"/>
    <w:rsid w:val="565A10C0"/>
    <w:rsid w:val="56823D18"/>
    <w:rsid w:val="568704CF"/>
    <w:rsid w:val="569452B5"/>
    <w:rsid w:val="569F3F3F"/>
    <w:rsid w:val="57065C40"/>
    <w:rsid w:val="570F090A"/>
    <w:rsid w:val="572B7583"/>
    <w:rsid w:val="579D3B92"/>
    <w:rsid w:val="57D2345C"/>
    <w:rsid w:val="57D2349D"/>
    <w:rsid w:val="580400FD"/>
    <w:rsid w:val="59210D85"/>
    <w:rsid w:val="592E1B54"/>
    <w:rsid w:val="598C6815"/>
    <w:rsid w:val="599201DC"/>
    <w:rsid w:val="599D0DF2"/>
    <w:rsid w:val="59D72A43"/>
    <w:rsid w:val="5A0D76AD"/>
    <w:rsid w:val="5A6325AC"/>
    <w:rsid w:val="5A8510BE"/>
    <w:rsid w:val="5B2E1AE3"/>
    <w:rsid w:val="5B8504A5"/>
    <w:rsid w:val="5B971A6C"/>
    <w:rsid w:val="5B9A33B4"/>
    <w:rsid w:val="5BA541E7"/>
    <w:rsid w:val="5C143C17"/>
    <w:rsid w:val="5C4C7784"/>
    <w:rsid w:val="5CB033CA"/>
    <w:rsid w:val="5CC21698"/>
    <w:rsid w:val="5CDB6A1A"/>
    <w:rsid w:val="5D581403"/>
    <w:rsid w:val="5D6715FA"/>
    <w:rsid w:val="5DEF1A28"/>
    <w:rsid w:val="5E181B75"/>
    <w:rsid w:val="5E3675D9"/>
    <w:rsid w:val="5E4147F0"/>
    <w:rsid w:val="5E4C402A"/>
    <w:rsid w:val="5E9A599A"/>
    <w:rsid w:val="5ECA3E7A"/>
    <w:rsid w:val="5F594E5B"/>
    <w:rsid w:val="5FDB164B"/>
    <w:rsid w:val="5FDE198A"/>
    <w:rsid w:val="5FEC666A"/>
    <w:rsid w:val="6000331E"/>
    <w:rsid w:val="6045083F"/>
    <w:rsid w:val="60565F69"/>
    <w:rsid w:val="60A844A0"/>
    <w:rsid w:val="60DD587C"/>
    <w:rsid w:val="60FF7B8A"/>
    <w:rsid w:val="61150D6B"/>
    <w:rsid w:val="61371B80"/>
    <w:rsid w:val="61901C28"/>
    <w:rsid w:val="61F764AA"/>
    <w:rsid w:val="6214174D"/>
    <w:rsid w:val="621817A0"/>
    <w:rsid w:val="624712E6"/>
    <w:rsid w:val="626F619A"/>
    <w:rsid w:val="62BD7556"/>
    <w:rsid w:val="62E25E48"/>
    <w:rsid w:val="63201B66"/>
    <w:rsid w:val="636C76A7"/>
    <w:rsid w:val="63776604"/>
    <w:rsid w:val="63A10068"/>
    <w:rsid w:val="640771FF"/>
    <w:rsid w:val="64143CB6"/>
    <w:rsid w:val="64A60983"/>
    <w:rsid w:val="64D01305"/>
    <w:rsid w:val="651177B5"/>
    <w:rsid w:val="653A117D"/>
    <w:rsid w:val="65BE0603"/>
    <w:rsid w:val="65C45393"/>
    <w:rsid w:val="661D16CA"/>
    <w:rsid w:val="66546B82"/>
    <w:rsid w:val="66811397"/>
    <w:rsid w:val="66891C1C"/>
    <w:rsid w:val="66EC6A75"/>
    <w:rsid w:val="66EE0843"/>
    <w:rsid w:val="6711460E"/>
    <w:rsid w:val="67413D60"/>
    <w:rsid w:val="675764EC"/>
    <w:rsid w:val="6795021A"/>
    <w:rsid w:val="67955879"/>
    <w:rsid w:val="67995C94"/>
    <w:rsid w:val="681E425F"/>
    <w:rsid w:val="682625B7"/>
    <w:rsid w:val="68310F68"/>
    <w:rsid w:val="6882222C"/>
    <w:rsid w:val="688276E4"/>
    <w:rsid w:val="68BA2C1F"/>
    <w:rsid w:val="68DF4BF7"/>
    <w:rsid w:val="68E82C66"/>
    <w:rsid w:val="69894162"/>
    <w:rsid w:val="69D578FC"/>
    <w:rsid w:val="69DF4B8A"/>
    <w:rsid w:val="6A2E1041"/>
    <w:rsid w:val="6A936B2E"/>
    <w:rsid w:val="6BA85D79"/>
    <w:rsid w:val="6BB44BFC"/>
    <w:rsid w:val="6BB8246D"/>
    <w:rsid w:val="6BBB7F4F"/>
    <w:rsid w:val="6BD35A73"/>
    <w:rsid w:val="6BE013E6"/>
    <w:rsid w:val="6BE53495"/>
    <w:rsid w:val="6BE66DE9"/>
    <w:rsid w:val="6C185C24"/>
    <w:rsid w:val="6C753031"/>
    <w:rsid w:val="6C8A7BED"/>
    <w:rsid w:val="6CAD1802"/>
    <w:rsid w:val="6CB64E88"/>
    <w:rsid w:val="6CD81C0B"/>
    <w:rsid w:val="6CF178AC"/>
    <w:rsid w:val="6D4C0334"/>
    <w:rsid w:val="6DA0721C"/>
    <w:rsid w:val="6E4D7045"/>
    <w:rsid w:val="6E52672F"/>
    <w:rsid w:val="6E7F748D"/>
    <w:rsid w:val="6EF411AA"/>
    <w:rsid w:val="6F7A137F"/>
    <w:rsid w:val="6FD54A73"/>
    <w:rsid w:val="70164227"/>
    <w:rsid w:val="70B36FBC"/>
    <w:rsid w:val="71136C52"/>
    <w:rsid w:val="7218789D"/>
    <w:rsid w:val="722C58BC"/>
    <w:rsid w:val="72A23568"/>
    <w:rsid w:val="72CE58A3"/>
    <w:rsid w:val="73222E9C"/>
    <w:rsid w:val="7360702C"/>
    <w:rsid w:val="73812063"/>
    <w:rsid w:val="740B1515"/>
    <w:rsid w:val="742062AA"/>
    <w:rsid w:val="746D2736"/>
    <w:rsid w:val="747A63F3"/>
    <w:rsid w:val="74837C97"/>
    <w:rsid w:val="74BC7610"/>
    <w:rsid w:val="74D22D91"/>
    <w:rsid w:val="74E7112E"/>
    <w:rsid w:val="75391F74"/>
    <w:rsid w:val="75F71AF3"/>
    <w:rsid w:val="760125AC"/>
    <w:rsid w:val="774E31C2"/>
    <w:rsid w:val="777715B7"/>
    <w:rsid w:val="77A30CAF"/>
    <w:rsid w:val="780F1534"/>
    <w:rsid w:val="78101433"/>
    <w:rsid w:val="78303D9C"/>
    <w:rsid w:val="78613B06"/>
    <w:rsid w:val="78AA6A88"/>
    <w:rsid w:val="78E81079"/>
    <w:rsid w:val="78F65B81"/>
    <w:rsid w:val="794D311F"/>
    <w:rsid w:val="7A064594"/>
    <w:rsid w:val="7A2F1782"/>
    <w:rsid w:val="7A760FC6"/>
    <w:rsid w:val="7AB62C67"/>
    <w:rsid w:val="7B2F226A"/>
    <w:rsid w:val="7B441057"/>
    <w:rsid w:val="7B9B122F"/>
    <w:rsid w:val="7BA4777E"/>
    <w:rsid w:val="7BAD44B7"/>
    <w:rsid w:val="7BBD41A5"/>
    <w:rsid w:val="7BE00D9D"/>
    <w:rsid w:val="7BEE0CCF"/>
    <w:rsid w:val="7C4C5EFA"/>
    <w:rsid w:val="7C6E0CAF"/>
    <w:rsid w:val="7C9D5EE2"/>
    <w:rsid w:val="7CBD370D"/>
    <w:rsid w:val="7CF502DB"/>
    <w:rsid w:val="7D1E0E86"/>
    <w:rsid w:val="7E327419"/>
    <w:rsid w:val="7E567930"/>
    <w:rsid w:val="7E926922"/>
    <w:rsid w:val="7EAB536D"/>
    <w:rsid w:val="7EC6323C"/>
    <w:rsid w:val="7EE07C61"/>
    <w:rsid w:val="7F087E42"/>
    <w:rsid w:val="7F4526DA"/>
    <w:rsid w:val="7F575529"/>
    <w:rsid w:val="7F963EE4"/>
    <w:rsid w:val="7FDE1D01"/>
    <w:rsid w:val="7FF834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heme="minorBidi"/>
      <w:kern w:val="2"/>
      <w:sz w:val="24"/>
      <w:szCs w:val="24"/>
      <w:lang w:val="en-US" w:eastAsia="zh-CN" w:bidi="ar-SA"/>
    </w:rPr>
  </w:style>
  <w:style w:type="paragraph" w:styleId="3">
    <w:name w:val="heading 1"/>
    <w:basedOn w:val="1"/>
    <w:next w:val="1"/>
    <w:autoRedefine/>
    <w:qFormat/>
    <w:uiPriority w:val="0"/>
    <w:pPr>
      <w:keepNext/>
      <w:keepLines/>
      <w:spacing w:before="340" w:after="330" w:line="576" w:lineRule="auto"/>
      <w:outlineLvl w:val="0"/>
    </w:pPr>
    <w:rPr>
      <w:b/>
      <w:kern w:val="44"/>
      <w:sz w:val="44"/>
    </w:rPr>
  </w:style>
  <w:style w:type="paragraph" w:styleId="2">
    <w:name w:val="heading 3"/>
    <w:basedOn w:val="1"/>
    <w:next w:val="1"/>
    <w:autoRedefine/>
    <w:qFormat/>
    <w:uiPriority w:val="0"/>
    <w:pPr>
      <w:keepNext/>
      <w:keepLines/>
      <w:adjustRightInd w:val="0"/>
      <w:spacing w:before="260" w:after="260"/>
      <w:textAlignment w:val="baseline"/>
      <w:outlineLvl w:val="2"/>
    </w:pPr>
    <w:rPr>
      <w:b/>
      <w:kern w:val="0"/>
      <w:sz w:val="28"/>
      <w:shd w:val="clear" w:color="auto" w:fill="FFFFFF"/>
    </w:rPr>
  </w:style>
  <w:style w:type="character" w:default="1" w:styleId="25">
    <w:name w:val="Default Paragraph Font"/>
    <w:autoRedefine/>
    <w:unhideWhenUsed/>
    <w:qFormat/>
    <w:uiPriority w:val="1"/>
  </w:style>
  <w:style w:type="table" w:default="1" w:styleId="23">
    <w:name w:val="Normal Table"/>
    <w:autoRedefine/>
    <w:unhideWhenUsed/>
    <w:qFormat/>
    <w:uiPriority w:val="99"/>
    <w:tblPr>
      <w:tblCellMar>
        <w:top w:w="0" w:type="dxa"/>
        <w:left w:w="108" w:type="dxa"/>
        <w:bottom w:w="0" w:type="dxa"/>
        <w:right w:w="108" w:type="dxa"/>
      </w:tblCellMar>
    </w:tblPr>
  </w:style>
  <w:style w:type="paragraph" w:styleId="4">
    <w:name w:val="Normal Indent"/>
    <w:basedOn w:val="1"/>
    <w:next w:val="5"/>
    <w:autoRedefine/>
    <w:qFormat/>
    <w:uiPriority w:val="0"/>
    <w:pPr>
      <w:ind w:firstLine="420" w:firstLineChars="200"/>
    </w:pPr>
    <w:rPr>
      <w:rFonts w:eastAsia="宋体"/>
      <w:kern w:val="2"/>
      <w:sz w:val="21"/>
      <w:szCs w:val="24"/>
      <w:lang w:val="en-US" w:eastAsia="zh-CN" w:bidi="ar-SA"/>
    </w:rPr>
  </w:style>
  <w:style w:type="paragraph" w:styleId="5">
    <w:name w:val="toc 1"/>
    <w:basedOn w:val="1"/>
    <w:next w:val="1"/>
    <w:autoRedefine/>
    <w:qFormat/>
    <w:uiPriority w:val="0"/>
  </w:style>
  <w:style w:type="paragraph" w:styleId="6">
    <w:name w:val="annotation text"/>
    <w:basedOn w:val="1"/>
    <w:link w:val="38"/>
    <w:autoRedefine/>
    <w:qFormat/>
    <w:uiPriority w:val="0"/>
    <w:pPr>
      <w:jc w:val="left"/>
    </w:pPr>
  </w:style>
  <w:style w:type="paragraph" w:styleId="7">
    <w:name w:val="Body Text"/>
    <w:basedOn w:val="1"/>
    <w:next w:val="8"/>
    <w:autoRedefine/>
    <w:qFormat/>
    <w:uiPriority w:val="0"/>
    <w:pPr>
      <w:spacing w:after="120"/>
    </w:pPr>
  </w:style>
  <w:style w:type="paragraph" w:styleId="8">
    <w:name w:val="List Bullet 5"/>
    <w:basedOn w:val="1"/>
    <w:autoRedefine/>
    <w:qFormat/>
    <w:uiPriority w:val="0"/>
    <w:pPr>
      <w:numPr>
        <w:ilvl w:val="0"/>
        <w:numId w:val="1"/>
      </w:numPr>
    </w:pPr>
  </w:style>
  <w:style w:type="paragraph" w:styleId="9">
    <w:name w:val="Body Text Indent"/>
    <w:basedOn w:val="1"/>
    <w:next w:val="10"/>
    <w:link w:val="49"/>
    <w:autoRedefine/>
    <w:qFormat/>
    <w:uiPriority w:val="0"/>
    <w:pPr>
      <w:spacing w:line="360" w:lineRule="auto"/>
      <w:ind w:firstLine="560" w:firstLineChars="200"/>
    </w:pPr>
    <w:rPr>
      <w:sz w:val="28"/>
      <w:szCs w:val="20"/>
    </w:rPr>
  </w:style>
  <w:style w:type="paragraph" w:customStyle="1" w:styleId="10">
    <w:name w:val="样式 正文文本缩进 + 行距: 1.5 倍行距"/>
    <w:basedOn w:val="1"/>
    <w:autoRedefine/>
    <w:qFormat/>
    <w:uiPriority w:val="0"/>
    <w:pPr>
      <w:spacing w:after="120" w:line="360" w:lineRule="auto"/>
      <w:ind w:left="32" w:leftChars="32" w:firstLine="200" w:firstLineChars="200"/>
    </w:pPr>
    <w:rPr>
      <w:rFonts w:cs="宋体"/>
      <w:sz w:val="24"/>
    </w:rPr>
  </w:style>
  <w:style w:type="paragraph" w:styleId="11">
    <w:name w:val="Plain Text"/>
    <w:basedOn w:val="1"/>
    <w:autoRedefine/>
    <w:qFormat/>
    <w:uiPriority w:val="0"/>
    <w:pPr>
      <w:widowControl/>
      <w:spacing w:before="100" w:beforeLines="0" w:beforeAutospacing="1" w:after="100" w:afterLines="0" w:afterAutospacing="1"/>
      <w:jc w:val="left"/>
    </w:pPr>
    <w:rPr>
      <w:rFonts w:eastAsia="宋体"/>
      <w:kern w:val="2"/>
      <w:sz w:val="18"/>
      <w:szCs w:val="18"/>
      <w:lang w:val="en-US" w:eastAsia="zh-CN" w:bidi="ar-SA"/>
    </w:rPr>
  </w:style>
  <w:style w:type="paragraph" w:styleId="12">
    <w:name w:val="Body Text Indent 2"/>
    <w:basedOn w:val="1"/>
    <w:autoRedefine/>
    <w:qFormat/>
    <w:uiPriority w:val="0"/>
    <w:pPr>
      <w:spacing w:after="120" w:line="480" w:lineRule="auto"/>
      <w:ind w:left="420" w:leftChars="200"/>
    </w:pPr>
  </w:style>
  <w:style w:type="paragraph" w:styleId="13">
    <w:name w:val="Balloon Text"/>
    <w:basedOn w:val="1"/>
    <w:link w:val="40"/>
    <w:autoRedefine/>
    <w:qFormat/>
    <w:uiPriority w:val="0"/>
    <w:rPr>
      <w:sz w:val="18"/>
      <w:szCs w:val="18"/>
    </w:rPr>
  </w:style>
  <w:style w:type="paragraph" w:styleId="14">
    <w:name w:val="footer"/>
    <w:basedOn w:val="1"/>
    <w:autoRedefine/>
    <w:qFormat/>
    <w:uiPriority w:val="0"/>
    <w:pPr>
      <w:tabs>
        <w:tab w:val="center" w:pos="4153"/>
        <w:tab w:val="right" w:pos="8306"/>
      </w:tabs>
      <w:snapToGrid w:val="0"/>
      <w:jc w:val="left"/>
    </w:pPr>
    <w:rPr>
      <w:sz w:val="18"/>
      <w:szCs w:val="18"/>
    </w:rPr>
  </w:style>
  <w:style w:type="paragraph" w:styleId="15">
    <w:name w:val="header"/>
    <w:basedOn w:val="1"/>
    <w:next w:val="1"/>
    <w:autoRedefine/>
    <w:qFormat/>
    <w:uiPriority w:val="0"/>
    <w:pPr>
      <w:pBdr>
        <w:bottom w:val="single" w:color="auto" w:sz="6" w:space="1"/>
      </w:pBdr>
      <w:tabs>
        <w:tab w:val="center" w:pos="4153"/>
        <w:tab w:val="right" w:pos="8306"/>
      </w:tabs>
      <w:snapToGrid w:val="0"/>
      <w:jc w:val="center"/>
    </w:pPr>
    <w:rPr>
      <w:sz w:val="18"/>
      <w:szCs w:val="18"/>
    </w:rPr>
  </w:style>
  <w:style w:type="paragraph" w:styleId="16">
    <w:name w:val="List"/>
    <w:basedOn w:val="1"/>
    <w:autoRedefine/>
    <w:qFormat/>
    <w:uiPriority w:val="0"/>
    <w:pPr>
      <w:ind w:left="200" w:hanging="200" w:hangingChars="200"/>
    </w:pPr>
  </w:style>
  <w:style w:type="paragraph" w:styleId="17">
    <w:name w:val="toc 2"/>
    <w:basedOn w:val="1"/>
    <w:next w:val="1"/>
    <w:autoRedefine/>
    <w:qFormat/>
    <w:uiPriority w:val="0"/>
    <w:pPr>
      <w:ind w:left="420" w:leftChars="200"/>
    </w:pPr>
  </w:style>
  <w:style w:type="paragraph" w:styleId="18">
    <w:name w:val="HTML Preformatted"/>
    <w:basedOn w:val="1"/>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19">
    <w:name w:val="Normal (Web)"/>
    <w:basedOn w:val="1"/>
    <w:autoRedefine/>
    <w:unhideWhenUsed/>
    <w:qFormat/>
    <w:uiPriority w:val="0"/>
    <w:pPr>
      <w:widowControl/>
      <w:spacing w:before="100" w:beforeAutospacing="1" w:after="100" w:afterAutospacing="1"/>
      <w:jc w:val="left"/>
    </w:pPr>
    <w:rPr>
      <w:rFonts w:ascii="宋体" w:hAnsi="宋体" w:cs="宋体"/>
      <w:kern w:val="0"/>
      <w:sz w:val="24"/>
    </w:rPr>
  </w:style>
  <w:style w:type="paragraph" w:styleId="20">
    <w:name w:val="annotation subject"/>
    <w:basedOn w:val="6"/>
    <w:next w:val="6"/>
    <w:link w:val="39"/>
    <w:autoRedefine/>
    <w:qFormat/>
    <w:uiPriority w:val="0"/>
    <w:rPr>
      <w:b/>
      <w:bCs/>
    </w:rPr>
  </w:style>
  <w:style w:type="paragraph" w:styleId="21">
    <w:name w:val="Body Text First Indent"/>
    <w:basedOn w:val="7"/>
    <w:next w:val="1"/>
    <w:autoRedefine/>
    <w:qFormat/>
    <w:uiPriority w:val="0"/>
    <w:pPr>
      <w:ind w:firstLine="420" w:firstLineChars="100"/>
    </w:pPr>
  </w:style>
  <w:style w:type="paragraph" w:styleId="22">
    <w:name w:val="Body Text First Indent 2"/>
    <w:basedOn w:val="9"/>
    <w:next w:val="1"/>
    <w:autoRedefine/>
    <w:qFormat/>
    <w:uiPriority w:val="99"/>
    <w:pPr>
      <w:ind w:firstLine="420" w:firstLineChars="200"/>
    </w:pPr>
  </w:style>
  <w:style w:type="table" w:styleId="24">
    <w:name w:val="Table Grid"/>
    <w:basedOn w:val="2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autoRedefine/>
    <w:qFormat/>
    <w:uiPriority w:val="0"/>
  </w:style>
  <w:style w:type="character" w:styleId="27">
    <w:name w:val="FollowedHyperlink"/>
    <w:basedOn w:val="25"/>
    <w:autoRedefine/>
    <w:qFormat/>
    <w:uiPriority w:val="0"/>
    <w:rPr>
      <w:color w:val="4A4A4A"/>
      <w:u w:val="none"/>
    </w:rPr>
  </w:style>
  <w:style w:type="character" w:styleId="28">
    <w:name w:val="Hyperlink"/>
    <w:basedOn w:val="25"/>
    <w:autoRedefine/>
    <w:qFormat/>
    <w:uiPriority w:val="0"/>
    <w:rPr>
      <w:color w:val="4A4A4A"/>
      <w:u w:val="none"/>
    </w:rPr>
  </w:style>
  <w:style w:type="character" w:styleId="29">
    <w:name w:val="annotation reference"/>
    <w:basedOn w:val="25"/>
    <w:autoRedefine/>
    <w:qFormat/>
    <w:uiPriority w:val="0"/>
    <w:rPr>
      <w:sz w:val="21"/>
      <w:szCs w:val="21"/>
    </w:rPr>
  </w:style>
  <w:style w:type="paragraph" w:customStyle="1" w:styleId="30">
    <w:name w:val="表头"/>
    <w:basedOn w:val="21"/>
    <w:next w:val="1"/>
    <w:autoRedefine/>
    <w:qFormat/>
    <w:uiPriority w:val="0"/>
    <w:pPr>
      <w:overflowPunct w:val="0"/>
      <w:autoSpaceDE w:val="0"/>
      <w:autoSpaceDN w:val="0"/>
      <w:adjustRightInd w:val="0"/>
      <w:spacing w:before="60" w:after="60" w:line="360" w:lineRule="auto"/>
      <w:ind w:firstLine="539" w:firstLineChars="0"/>
      <w:jc w:val="center"/>
      <w:textAlignment w:val="baseline"/>
    </w:pPr>
    <w:rPr>
      <w:rFonts w:eastAsia="黑体"/>
      <w:sz w:val="28"/>
    </w:rPr>
  </w:style>
  <w:style w:type="paragraph" w:customStyle="1" w:styleId="31">
    <w:name w:val="表格"/>
    <w:basedOn w:val="1"/>
    <w:autoRedefine/>
    <w:qFormat/>
    <w:uiPriority w:val="99"/>
    <w:pPr>
      <w:adjustRightInd w:val="0"/>
      <w:jc w:val="center"/>
      <w:textAlignment w:val="baseline"/>
    </w:pPr>
    <w:rPr>
      <w:rFonts w:ascii="Times New Roman" w:hAnsi="Times New Roman" w:eastAsia="宋体"/>
      <w:kern w:val="0"/>
      <w:sz w:val="21"/>
      <w:szCs w:val="21"/>
    </w:rPr>
  </w:style>
  <w:style w:type="paragraph" w:customStyle="1" w:styleId="32">
    <w:name w:val="Default"/>
    <w:basedOn w:val="33"/>
    <w:next w:val="1"/>
    <w:autoRedefine/>
    <w:qFormat/>
    <w:uiPriority w:val="0"/>
    <w:pPr>
      <w:widowControl w:val="0"/>
      <w:autoSpaceDE w:val="0"/>
      <w:autoSpaceDN w:val="0"/>
      <w:adjustRightInd w:val="0"/>
    </w:pPr>
    <w:rPr>
      <w:rFonts w:ascii="黑体" w:hAnsi="Times New Roman" w:eastAsia="黑体" w:cs="Times New Roman"/>
      <w:color w:val="000000"/>
      <w:sz w:val="24"/>
      <w:szCs w:val="24"/>
      <w:lang w:val="en-US" w:eastAsia="zh-CN" w:bidi="ar-SA"/>
    </w:rPr>
  </w:style>
  <w:style w:type="paragraph" w:customStyle="1" w:styleId="33">
    <w:name w:val="1 表头"/>
    <w:basedOn w:val="1"/>
    <w:autoRedefine/>
    <w:qFormat/>
    <w:uiPriority w:val="0"/>
    <w:pPr>
      <w:adjustRightInd w:val="0"/>
      <w:snapToGrid w:val="0"/>
      <w:jc w:val="center"/>
    </w:pPr>
    <w:rPr>
      <w:b/>
      <w:color w:val="000000"/>
      <w:szCs w:val="21"/>
    </w:rPr>
  </w:style>
  <w:style w:type="paragraph" w:customStyle="1" w:styleId="34">
    <w:name w:val="表格内"/>
    <w:basedOn w:val="1"/>
    <w:autoRedefine/>
    <w:qFormat/>
    <w:uiPriority w:val="0"/>
    <w:pPr>
      <w:spacing w:line="360" w:lineRule="exact"/>
      <w:jc w:val="center"/>
    </w:pPr>
    <w:rPr>
      <w:snapToGrid w:val="0"/>
      <w:szCs w:val="21"/>
    </w:rPr>
  </w:style>
  <w:style w:type="paragraph" w:customStyle="1" w:styleId="35">
    <w:name w:val="表内文字"/>
    <w:basedOn w:val="1"/>
    <w:autoRedefine/>
    <w:qFormat/>
    <w:uiPriority w:val="0"/>
    <w:pPr>
      <w:adjustRightInd w:val="0"/>
      <w:snapToGrid w:val="0"/>
      <w:jc w:val="center"/>
    </w:pPr>
    <w:rPr>
      <w:szCs w:val="21"/>
    </w:rPr>
  </w:style>
  <w:style w:type="character" w:customStyle="1" w:styleId="36">
    <w:name w:val="titbg2"/>
    <w:basedOn w:val="25"/>
    <w:qFormat/>
    <w:uiPriority w:val="0"/>
    <w:rPr>
      <w:shd w:val="clear" w:color="auto" w:fill="378ED7"/>
    </w:rPr>
  </w:style>
  <w:style w:type="character" w:customStyle="1" w:styleId="37">
    <w:name w:val="titbg1"/>
    <w:basedOn w:val="25"/>
    <w:autoRedefine/>
    <w:qFormat/>
    <w:uiPriority w:val="0"/>
    <w:rPr>
      <w:shd w:val="clear" w:color="auto" w:fill="378ED7"/>
    </w:rPr>
  </w:style>
  <w:style w:type="character" w:customStyle="1" w:styleId="38">
    <w:name w:val="批注文字 字符"/>
    <w:basedOn w:val="25"/>
    <w:link w:val="6"/>
    <w:autoRedefine/>
    <w:qFormat/>
    <w:uiPriority w:val="0"/>
    <w:rPr>
      <w:rFonts w:ascii="Calibri" w:hAnsi="Calibri" w:eastAsiaTheme="minorEastAsia" w:cstheme="minorBidi"/>
      <w:kern w:val="2"/>
      <w:sz w:val="21"/>
      <w:szCs w:val="24"/>
    </w:rPr>
  </w:style>
  <w:style w:type="character" w:customStyle="1" w:styleId="39">
    <w:name w:val="批注主题 字符"/>
    <w:basedOn w:val="38"/>
    <w:link w:val="20"/>
    <w:autoRedefine/>
    <w:qFormat/>
    <w:uiPriority w:val="0"/>
    <w:rPr>
      <w:rFonts w:ascii="Calibri" w:hAnsi="Calibri" w:eastAsiaTheme="minorEastAsia" w:cstheme="minorBidi"/>
      <w:b/>
      <w:bCs/>
      <w:kern w:val="2"/>
      <w:sz w:val="21"/>
      <w:szCs w:val="24"/>
    </w:rPr>
  </w:style>
  <w:style w:type="character" w:customStyle="1" w:styleId="40">
    <w:name w:val="批注框文本 字符"/>
    <w:basedOn w:val="25"/>
    <w:link w:val="13"/>
    <w:autoRedefine/>
    <w:qFormat/>
    <w:uiPriority w:val="0"/>
    <w:rPr>
      <w:rFonts w:ascii="Calibri" w:hAnsi="Calibri" w:eastAsiaTheme="minorEastAsia" w:cstheme="minorBidi"/>
      <w:kern w:val="2"/>
      <w:sz w:val="18"/>
      <w:szCs w:val="18"/>
    </w:rPr>
  </w:style>
  <w:style w:type="paragraph" w:customStyle="1" w:styleId="41">
    <w:name w:val="Table Paragraph"/>
    <w:basedOn w:val="1"/>
    <w:autoRedefine/>
    <w:unhideWhenUsed/>
    <w:qFormat/>
    <w:uiPriority w:val="0"/>
    <w:rPr>
      <w:sz w:val="24"/>
    </w:rPr>
  </w:style>
  <w:style w:type="paragraph" w:customStyle="1" w:styleId="42">
    <w:name w:val="p0"/>
    <w:basedOn w:val="1"/>
    <w:autoRedefine/>
    <w:qFormat/>
    <w:uiPriority w:val="0"/>
    <w:pPr>
      <w:widowControl/>
    </w:pPr>
    <w:rPr>
      <w:szCs w:val="21"/>
    </w:rPr>
  </w:style>
  <w:style w:type="paragraph" w:customStyle="1" w:styleId="43">
    <w:name w:val="Char"/>
    <w:basedOn w:val="1"/>
    <w:qFormat/>
    <w:uiPriority w:val="0"/>
    <w:rPr>
      <w:szCs w:val="24"/>
    </w:rPr>
  </w:style>
  <w:style w:type="paragraph" w:customStyle="1" w:styleId="44">
    <w:name w:val="xl2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45">
    <w:name w:val="Picture caption|1"/>
    <w:basedOn w:val="1"/>
    <w:qFormat/>
    <w:uiPriority w:val="0"/>
    <w:pPr>
      <w:widowControl w:val="0"/>
      <w:shd w:val="clear" w:color="auto" w:fill="auto"/>
      <w:spacing w:line="589" w:lineRule="exact"/>
      <w:ind w:firstLine="220"/>
    </w:pPr>
    <w:rPr>
      <w:rFonts w:ascii="宋体" w:hAnsi="宋体" w:eastAsia="宋体" w:cs="宋体"/>
      <w:sz w:val="28"/>
      <w:szCs w:val="28"/>
      <w:u w:val="none"/>
      <w:shd w:val="clear" w:color="auto" w:fill="auto"/>
      <w:lang w:val="zh-TW" w:eastAsia="zh-TW" w:bidi="zh-TW"/>
    </w:rPr>
  </w:style>
  <w:style w:type="paragraph" w:customStyle="1" w:styleId="46">
    <w:name w:val="表头1"/>
    <w:basedOn w:val="1"/>
    <w:qFormat/>
    <w:uiPriority w:val="0"/>
    <w:pPr>
      <w:spacing w:before="62" w:afterLines="20"/>
      <w:jc w:val="center"/>
    </w:pPr>
    <w:rPr>
      <w:rFonts w:ascii="Times New Roman" w:hAnsi="Times New Roman" w:eastAsia="仿宋"/>
      <w:b/>
      <w:sz w:val="24"/>
      <w:szCs w:val="24"/>
    </w:rPr>
  </w:style>
  <w:style w:type="paragraph" w:customStyle="1" w:styleId="47">
    <w:name w:val="样式 首行缩进:  2 字符1"/>
    <w:basedOn w:val="1"/>
    <w:autoRedefine/>
    <w:qFormat/>
    <w:uiPriority w:val="0"/>
    <w:pPr>
      <w:adjustRightInd w:val="0"/>
      <w:snapToGrid w:val="0"/>
      <w:spacing w:line="360" w:lineRule="auto"/>
      <w:ind w:firstLine="480" w:firstLineChars="200"/>
    </w:pPr>
    <w:rPr>
      <w:rFonts w:ascii="Times New Roman" w:hAnsi="Times New Roman" w:eastAsia="宋体" w:cs="宋体"/>
      <w:sz w:val="24"/>
      <w:szCs w:val="20"/>
    </w:rPr>
  </w:style>
  <w:style w:type="character" w:customStyle="1" w:styleId="48">
    <w:name w:val="checkbox"/>
    <w:basedOn w:val="25"/>
    <w:qFormat/>
    <w:uiPriority w:val="0"/>
  </w:style>
  <w:style w:type="character" w:customStyle="1" w:styleId="49">
    <w:name w:val="正文文本缩进 Char"/>
    <w:link w:val="9"/>
    <w:qFormat/>
    <w:uiPriority w:val="0"/>
    <w:rPr>
      <w:sz w:val="28"/>
      <w:szCs w:val="20"/>
    </w:rPr>
  </w:style>
  <w:style w:type="paragraph" w:customStyle="1" w:styleId="50">
    <w:name w:val="Normal (Web)"/>
    <w:basedOn w:val="1"/>
    <w:qFormat/>
    <w:uiPriority w:val="0"/>
    <w:pPr>
      <w:adjustRightInd/>
      <w:snapToGrid/>
      <w:spacing w:before="100" w:beforeLines="0" w:beforeAutospacing="1" w:after="100" w:afterLines="0" w:afterAutospacing="1"/>
    </w:pPr>
    <w:rPr>
      <w:rFonts w:ascii="宋体" w:hAnsi="宋体" w:eastAsia="宋体" w:cs="宋体"/>
      <w:sz w:val="24"/>
      <w:szCs w:val="24"/>
    </w:rPr>
  </w:style>
  <w:style w:type="paragraph" w:customStyle="1" w:styleId="51">
    <w:name w:val="Other|1"/>
    <w:basedOn w:val="1"/>
    <w:autoRedefine/>
    <w:qFormat/>
    <w:uiPriority w:val="0"/>
    <w:pPr>
      <w:widowControl w:val="0"/>
      <w:shd w:val="clear" w:color="auto" w:fill="auto"/>
    </w:pPr>
    <w:rPr>
      <w:rFonts w:ascii="宋体" w:hAnsi="宋体" w:eastAsia="宋体" w:cs="宋体"/>
      <w:sz w:val="30"/>
      <w:szCs w:val="30"/>
      <w:u w:val="none"/>
      <w:shd w:val="clear" w:color="auto" w:fill="auto"/>
      <w:lang w:val="zh-TW" w:eastAsia="zh-TW" w:bidi="zh-TW"/>
    </w:rPr>
  </w:style>
  <w:style w:type="paragraph" w:customStyle="1" w:styleId="52">
    <w:name w:val="Footnote|1"/>
    <w:basedOn w:val="1"/>
    <w:autoRedefine/>
    <w:qFormat/>
    <w:uiPriority w:val="0"/>
    <w:pPr>
      <w:widowControl w:val="0"/>
      <w:shd w:val="clear" w:color="auto" w:fill="auto"/>
      <w:spacing w:line="468" w:lineRule="exact"/>
      <w:ind w:left="780"/>
      <w:jc w:val="right"/>
    </w:pPr>
    <w:rPr>
      <w:rFonts w:ascii="宋体" w:hAnsi="宋体" w:eastAsia="宋体" w:cs="宋体"/>
      <w:u w:val="none"/>
      <w:shd w:val="clear" w:color="auto" w:fill="auto"/>
      <w:lang w:val="zh-TW" w:eastAsia="zh-TW" w:bidi="zh-TW"/>
    </w:rPr>
  </w:style>
  <w:style w:type="paragraph" w:customStyle="1" w:styleId="53">
    <w:name w:val="表内容"/>
    <w:basedOn w:val="1"/>
    <w:autoRedefine/>
    <w:qFormat/>
    <w:uiPriority w:val="0"/>
    <w:pPr>
      <w:jc w:val="center"/>
    </w:pPr>
    <w:rPr>
      <w:rFonts w:ascii="宋体" w:hAnsi="宋体"/>
      <w:snapToGrid w:val="0"/>
      <w:szCs w:val="21"/>
    </w:rPr>
  </w:style>
  <w:style w:type="paragraph" w:customStyle="1" w:styleId="54">
    <w:name w:val="表格文字"/>
    <w:basedOn w:val="1"/>
    <w:next w:val="7"/>
    <w:autoRedefine/>
    <w:qFormat/>
    <w:uiPriority w:val="0"/>
    <w:pPr>
      <w:spacing w:line="360" w:lineRule="auto"/>
      <w:ind w:firstLine="0" w:firstLineChars="0"/>
      <w:jc w:val="left"/>
    </w:pPr>
    <w:rPr>
      <w:rFonts w:ascii="Times New Roman" w:hAnsi="Times New Roman" w:eastAsia="宋体"/>
      <w:kern w:val="2"/>
      <w:sz w:val="24"/>
      <w:szCs w:val="24"/>
    </w:rPr>
  </w:style>
  <w:style w:type="paragraph" w:customStyle="1" w:styleId="55">
    <w:name w:val="Body text|1"/>
    <w:basedOn w:val="1"/>
    <w:autoRedefine/>
    <w:qFormat/>
    <w:uiPriority w:val="0"/>
    <w:pPr>
      <w:widowControl w:val="0"/>
      <w:shd w:val="clear" w:color="auto" w:fill="auto"/>
      <w:spacing w:line="451" w:lineRule="auto"/>
      <w:ind w:firstLine="400"/>
    </w:pPr>
    <w:rPr>
      <w:rFonts w:ascii="宋体" w:hAnsi="宋体" w:eastAsia="宋体" w:cs="宋体"/>
      <w:sz w:val="28"/>
      <w:szCs w:val="28"/>
      <w:u w:val="none"/>
      <w:shd w:val="clear" w:color="auto" w:fill="auto"/>
      <w:lang w:val="zh-TW" w:eastAsia="zh-TW" w:bidi="zh-TW"/>
    </w:rPr>
  </w:style>
  <w:style w:type="paragraph" w:customStyle="1" w:styleId="56">
    <w:name w:val="Header or footer|2"/>
    <w:basedOn w:val="1"/>
    <w:autoRedefine/>
    <w:qFormat/>
    <w:uiPriority w:val="0"/>
    <w:pPr>
      <w:widowControl w:val="0"/>
      <w:shd w:val="clear" w:color="auto" w:fill="auto"/>
    </w:pPr>
    <w:rPr>
      <w:sz w:val="20"/>
      <w:szCs w:val="20"/>
      <w:u w:val="none"/>
      <w:shd w:val="clear" w:color="auto" w:fill="auto"/>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vertOverflow="overflow" horzOverflow="overflow" vert="horz" wrap="none" lIns="91440" tIns="45720" rIns="91440" bIns="45720" numCol="1" spcCol="0" rtlCol="0" fromWordArt="0" anchor="t" anchorCtr="0" forceAA="0" compatLnSpc="1">
        <a:spAutoFit/>
      </a:bodyPr>
      <a:lstStyle/>
      <a:style>
        <a:lnRef idx="0">
          <a:schemeClr val="accent1"/>
        </a:lnRef>
        <a:fillRef idx="0">
          <a:schemeClr val="accent1"/>
        </a:fillRef>
        <a:effectRef idx="0">
          <a:schemeClr val="accent1"/>
        </a:effectRef>
        <a:fontRef idx="minor">
          <a:schemeClr val="dk1"/>
        </a:fontRef>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46</Pages>
  <Words>22584</Words>
  <Characters>25768</Characters>
  <Lines>47</Lines>
  <Paragraphs>13</Paragraphs>
  <TotalTime>183</TotalTime>
  <ScaleCrop>false</ScaleCrop>
  <LinksUpToDate>false</LinksUpToDate>
  <CharactersWithSpaces>25938</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2017-08-06T16:16:00Z</dcterms:created>
  <dc:creator>Administrator</dc:creator>
  <cp:lastModifiedBy>AA聂一</cp:lastModifiedBy>
  <dcterms:modified xsi:type="dcterms:W3CDTF">2024-02-26T08:17:24Z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B2A54DF90DCD4C72A073FFEAD658FB77</vt:lpwstr>
  </property>
</Properties>
</file>